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507" w:rsidRDefault="00545BCE" w:rsidP="005A6F2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0;margin-top:0;width:50pt;height:50pt;z-index:251658240;visibility:hidden">
            <o:lock v:ext="edit" selection="t"/>
          </v:shape>
        </w:pict>
      </w:r>
    </w:p>
    <w:p w:rsidR="002B6507" w:rsidRDefault="00F131E2" w:rsidP="005A6F2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647700" cy="647700"/>
              <wp:effectExtent b="0" l="0" r="0" t="0"/>
              <wp:wrapNone/>
              <wp:docPr id="727512408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028500" y="3462500"/>
                        <a:ext cx="635000" cy="635000"/>
                      </a:xfrm>
                      <a:custGeom>
                        <a:rect b="b" l="l" r="r" t="t"/>
                        <a:pathLst>
                          <a:path extrusionOk="0" h="635000" w="635000">
                            <a:moveTo>
                              <a:pt x="0" y="0"/>
                            </a:moveTo>
                            <a:lnTo>
                              <a:pt x="635000" y="0"/>
                            </a:lnTo>
                            <a:moveTo>
                              <a:pt x="0" y="635000"/>
                            </a:moveTo>
                            <a:lnTo>
                              <a:pt x="635000" y="63500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cap="flat" cmpd="sng" w="12700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47700" cy="647700"/>
                <wp:effectExtent l="0" t="0" r="0" b="0"/>
                <wp:wrapNone/>
                <wp:docPr id="727512408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На основу Одлуке о правима у области социјалне заштите и социјалне сигурности грађана који се финансирају из буџета Општине Бујановац („Службени гласник општине Бујановац“, број 7/15 ), као и на основу члана 3. и 4. Критеријума за куповину стамбених јединица и поступак и начин рада Комисије за куповину стамбених јединица за решавање стамбених потреба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корисника пакета донаторске помоћи, (Службени гласник општине Бујановац, број 4/23 ), у оквиру пројекта „Побољшање услова живота привремено расељених Рома и других маргинализованих група у Бујановцу кроз социјално становање и мере активне инклузије“,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 који реализује Општина Бујановац у партнерству са Центром за социјални рад, Културном хуманитарном организацијом „Алтернатива интернационале“ из Бујановца и удружењем А 11 - Иницијатива за економска и социјална права, који се реализује средствима Европске Уније кроз програм „Подршка ЕУ социјалном становању и активној инклузији’’ (у даљем тексту EU SHAI, који спроводи Канцеларија Уједињених нација за пројектне услуге - УНОПС),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финансира Европска унија кроз ИПА 2018 и на основу Уговора о донацији, реф. UNOPS-SHAI-2022-Grant-003, од 06.04.2022.године, Комисија за куповину стамбених јединица за решавање стамбених потреба корисника пакета донаторске помоћи у оквиру пројекта „Побољшање услова живота привремено расељених Рома и других маргинализованих група у Бујановцу кроз социјално становање и мере активне инклузије“ (у даљем тексту Комисија), дана </w:t>
      </w:r>
      <w:r w:rsidR="00944D5E" w:rsidRPr="005A6F24">
        <w:rPr>
          <w:rFonts w:ascii="Times New Roman" w:eastAsia="Times New Roman" w:hAnsi="Times New Roman" w:cs="Times New Roman"/>
          <w:b/>
          <w:sz w:val="24"/>
          <w:szCs w:val="24"/>
        </w:rPr>
        <w:t>12.03.2024</w:t>
      </w:r>
      <w:r w:rsidRPr="005A6F24">
        <w:rPr>
          <w:rFonts w:ascii="Times New Roman" w:eastAsia="Times New Roman" w:hAnsi="Times New Roman" w:cs="Times New Roman"/>
          <w:b/>
          <w:sz w:val="24"/>
          <w:szCs w:val="24"/>
        </w:rPr>
        <w:t>. 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расписује   </w:t>
      </w:r>
    </w:p>
    <w:p w:rsidR="002B6507" w:rsidRDefault="002B6507" w:rsidP="005A6F2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6507" w:rsidRDefault="002B6507" w:rsidP="005A6F2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30j0zll" w:colFirst="0" w:colLast="0"/>
      <w:bookmarkEnd w:id="1"/>
    </w:p>
    <w:p w:rsidR="002B6507" w:rsidRDefault="00F131E2" w:rsidP="005A6F24">
      <w:pPr>
        <w:spacing w:after="0"/>
        <w:ind w:left="2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ЈАВНИ ПОЗИВ</w:t>
      </w:r>
    </w:p>
    <w:p w:rsidR="002B6507" w:rsidRDefault="00F131E2" w:rsidP="005A6F24">
      <w:pPr>
        <w:spacing w:after="0"/>
        <w:ind w:left="2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eading=h.1fob9te" w:colFirst="0" w:colLast="0"/>
      <w:bookmarkEnd w:id="2"/>
      <w:r>
        <w:rPr>
          <w:rFonts w:ascii="Times New Roman" w:eastAsia="Times New Roman" w:hAnsi="Times New Roman" w:cs="Times New Roman"/>
          <w:b/>
          <w:sz w:val="24"/>
          <w:szCs w:val="24"/>
        </w:rPr>
        <w:t>за куповину стамбених једниница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за решавање стамбених потреба корисника пакета донаторке помоћи у оквиру пројекта  „Побољшање услова живота привремено расељених Рома и других маргинализованих група у Бујановцу кроз социјално становање и мере активне инклузије“</w:t>
      </w:r>
    </w:p>
    <w:p w:rsidR="002B6507" w:rsidRDefault="002B6507" w:rsidP="005A6F24">
      <w:pPr>
        <w:spacing w:after="0"/>
        <w:ind w:left="2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6507" w:rsidRDefault="002B6507" w:rsidP="005A6F2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6507" w:rsidRDefault="002B6507" w:rsidP="005A6F2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6507" w:rsidRDefault="00F131E2" w:rsidP="005A6F24">
      <w:pPr>
        <w:spacing w:after="0"/>
        <w:ind w:left="2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Предмет јавног позива</w:t>
      </w:r>
    </w:p>
    <w:p w:rsidR="002B6507" w:rsidRDefault="002B6507" w:rsidP="005A6F24">
      <w:pPr>
        <w:spacing w:after="0"/>
        <w:ind w:left="2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6507" w:rsidRDefault="00F131E2" w:rsidP="005A6F24">
      <w:pPr>
        <w:spacing w:after="0"/>
        <w:ind w:left="2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Предмет Јавног позива за куповину стамбених једниница за решавање стамбених потреба корисника пакета донаторске помоћи, стамбене подршке и мера подршке активне инклузије, у оквиру пројекта „Побољшање услова живота привремено расељених Рома и других маргинализованих група у Бујановцу кроз социјално становање и мере активне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инклузије“ (у даљем тексту: Јавни позив) је куповина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десет (10)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стамбених једниница намењена за становање 10 корисничких породица које припадају категорији социјално угрожених породица са територије опптине Бујановац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B6507" w:rsidRDefault="002B6507" w:rsidP="005A6F24">
      <w:pPr>
        <w:spacing w:after="0"/>
        <w:ind w:left="2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6507" w:rsidRDefault="00F131E2" w:rsidP="005A6F24">
      <w:pPr>
        <w:spacing w:after="0"/>
        <w:ind w:left="2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Стамбена јединица која је предмет куповине и за коју се подноси пријава на Јавни позив мора бити на територији општине Бујановац.</w:t>
      </w:r>
    </w:p>
    <w:p w:rsidR="002B6507" w:rsidRDefault="002B6507" w:rsidP="005A6F24">
      <w:pPr>
        <w:spacing w:after="0"/>
        <w:ind w:left="2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6507" w:rsidRDefault="00F131E2" w:rsidP="005A6F24">
      <w:pPr>
        <w:widowControl w:val="0"/>
        <w:spacing w:after="0" w:line="264" w:lineRule="auto"/>
        <w:ind w:left="2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Расположива средства по овом јавном позиву обезбеђена су из донаторских средстава Програма EU SHAI и буџета Општине Бујановац износе укупно 190.000 УСД (америчких долара) у динарској противвредности. </w:t>
      </w:r>
    </w:p>
    <w:p w:rsidR="002B6507" w:rsidRDefault="002B6507" w:rsidP="005A6F24">
      <w:pPr>
        <w:widowControl w:val="0"/>
        <w:spacing w:after="0" w:line="264" w:lineRule="auto"/>
        <w:ind w:left="2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6507" w:rsidRDefault="00F131E2" w:rsidP="005A6F24">
      <w:pPr>
        <w:widowControl w:val="0"/>
        <w:spacing w:after="0" w:line="264" w:lineRule="auto"/>
        <w:ind w:left="2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eading=h.3znysh7" w:colFirst="0" w:colLast="0"/>
      <w:bookmarkEnd w:id="3"/>
      <w:r>
        <w:rPr>
          <w:rFonts w:ascii="Times New Roman" w:eastAsia="Times New Roman" w:hAnsi="Times New Roman" w:cs="Times New Roman"/>
          <w:sz w:val="24"/>
          <w:szCs w:val="24"/>
        </w:rPr>
        <w:t>Вредност предметне стамбене јединице, укључујући потребну реконструкцију износи у просеку 19.000,00 УСД (америчких долара), у динарској противвредности и према правилима донатора.</w:t>
      </w:r>
    </w:p>
    <w:p w:rsidR="002B6507" w:rsidRDefault="002B6507" w:rsidP="005A6F24">
      <w:pPr>
        <w:spacing w:after="0"/>
        <w:ind w:left="2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6507" w:rsidRDefault="002B6507" w:rsidP="005A6F24">
      <w:pPr>
        <w:spacing w:after="0"/>
        <w:ind w:left="2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6507" w:rsidRDefault="002B6507" w:rsidP="005A6F24">
      <w:pPr>
        <w:spacing w:after="0"/>
        <w:ind w:left="2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6507" w:rsidRDefault="00F131E2" w:rsidP="006233CF">
      <w:pPr>
        <w:spacing w:after="0"/>
        <w:ind w:left="2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Право учешћа</w:t>
      </w:r>
    </w:p>
    <w:p w:rsidR="002B6507" w:rsidRDefault="002B6507" w:rsidP="005A6F24">
      <w:pPr>
        <w:spacing w:after="0"/>
        <w:ind w:left="2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6507" w:rsidRDefault="00F131E2" w:rsidP="005A6F24">
      <w:pPr>
        <w:spacing w:after="0"/>
        <w:ind w:left="2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Право учешћа на Јавном позиву има власник стамбене једнинице која се налази на територији општине Бујановац (сва насељена места на територији општине Бујановац) и коју власник жели да прода. </w:t>
      </w:r>
    </w:p>
    <w:p w:rsidR="002B6507" w:rsidRDefault="002B6507" w:rsidP="005A6F2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6507" w:rsidRDefault="002B6507" w:rsidP="005A6F2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6507" w:rsidRDefault="002B6507" w:rsidP="005A6F24">
      <w:pPr>
        <w:spacing w:after="0"/>
        <w:ind w:left="2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6507" w:rsidRDefault="00F131E2" w:rsidP="006233CF">
      <w:pPr>
        <w:spacing w:after="0"/>
        <w:ind w:left="2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Услови за избор стамбених једниница</w:t>
      </w:r>
    </w:p>
    <w:p w:rsidR="002B6507" w:rsidRDefault="002B6507" w:rsidP="005A6F24">
      <w:pPr>
        <w:spacing w:after="0"/>
        <w:ind w:left="2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6507" w:rsidRDefault="00F131E2" w:rsidP="005A6F24">
      <w:pPr>
        <w:spacing w:after="0"/>
        <w:ind w:left="2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Потребно је да стамбена јединица која је предмет куповине има корисну нето површину у складу са Правилником о нормативима за планирање и пројектовање стамбених зграда и станова у програмима стамбене подршке („Службени гласник РС“ бр.76/2017), а према броју чланова породице изабраних корисника.</w:t>
      </w:r>
    </w:p>
    <w:p w:rsidR="002B6507" w:rsidRDefault="002B6507" w:rsidP="005A6F24">
      <w:pPr>
        <w:spacing w:after="0"/>
        <w:ind w:left="2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6507" w:rsidRDefault="00F131E2" w:rsidP="005A6F24">
      <w:pPr>
        <w:spacing w:after="0"/>
        <w:ind w:left="2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Kорисна површина објекта може бити и већа и зависиће од понуда које буду достављене од стране продаваца.</w:t>
      </w:r>
    </w:p>
    <w:p w:rsidR="002B6507" w:rsidRDefault="002B6507" w:rsidP="005A6F24">
      <w:pPr>
        <w:spacing w:after="0"/>
        <w:ind w:left="2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6507" w:rsidRDefault="00F131E2" w:rsidP="005A6F24">
      <w:pPr>
        <w:spacing w:after="0"/>
        <w:ind w:left="2" w:hanging="2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Уз претходну испуњеност свих других прописаних услова, превасходно ће бити разматрани стамбени објекти који најприближније одговарају структури из Критеријума, односно они чије су површине најприближније површинама израженим у Критеријумима.</w:t>
      </w:r>
    </w:p>
    <w:p w:rsidR="002B6507" w:rsidRDefault="002B6507" w:rsidP="005A6F24">
      <w:pPr>
        <w:spacing w:after="0"/>
        <w:ind w:left="2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2"/>
        <w:tblW w:w="9300" w:type="dxa"/>
        <w:tblInd w:w="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4695"/>
        <w:gridCol w:w="4605"/>
      </w:tblGrid>
      <w:tr w:rsidR="002B6507">
        <w:trPr>
          <w:cantSplit/>
          <w:trHeight w:val="284"/>
          <w:tblHeader/>
        </w:trPr>
        <w:tc>
          <w:tcPr>
            <w:tcW w:w="4695" w:type="dxa"/>
          </w:tcPr>
          <w:p w:rsidR="002B6507" w:rsidRDefault="00F131E2" w:rsidP="005A6F24">
            <w:pPr>
              <w:widowControl w:val="0"/>
              <w:spacing w:before="28" w:after="0" w:line="236" w:lineRule="auto"/>
              <w:ind w:left="1157" w:right="1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Величина домаћинства</w:t>
            </w:r>
          </w:p>
        </w:tc>
        <w:tc>
          <w:tcPr>
            <w:tcW w:w="4605" w:type="dxa"/>
          </w:tcPr>
          <w:p w:rsidR="002B6507" w:rsidRDefault="00F131E2" w:rsidP="005A6F24">
            <w:pPr>
              <w:widowControl w:val="0"/>
              <w:spacing w:before="28" w:after="0" w:line="236" w:lineRule="auto"/>
              <w:ind w:left="754" w:right="7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Нето корисна површина стана</w:t>
            </w:r>
          </w:p>
        </w:tc>
      </w:tr>
      <w:tr w:rsidR="002B6507">
        <w:trPr>
          <w:cantSplit/>
          <w:trHeight w:val="284"/>
          <w:tblHeader/>
        </w:trPr>
        <w:tc>
          <w:tcPr>
            <w:tcW w:w="4695" w:type="dxa"/>
          </w:tcPr>
          <w:p w:rsidR="002B6507" w:rsidRDefault="00F131E2" w:rsidP="005A6F24">
            <w:pPr>
              <w:widowControl w:val="0"/>
              <w:spacing w:before="26" w:after="0" w:line="238" w:lineRule="auto"/>
              <w:ind w:left="1157" w:right="1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1-члано</w:t>
            </w:r>
          </w:p>
        </w:tc>
        <w:tc>
          <w:tcPr>
            <w:tcW w:w="4605" w:type="dxa"/>
          </w:tcPr>
          <w:p w:rsidR="002B6507" w:rsidRDefault="00F131E2" w:rsidP="005A6F24">
            <w:pPr>
              <w:widowControl w:val="0"/>
              <w:spacing w:before="26" w:after="0" w:line="238" w:lineRule="auto"/>
              <w:ind w:left="754" w:right="7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22-30м2</w:t>
            </w:r>
          </w:p>
        </w:tc>
      </w:tr>
      <w:tr w:rsidR="002B6507">
        <w:trPr>
          <w:cantSplit/>
          <w:trHeight w:val="284"/>
          <w:tblHeader/>
        </w:trPr>
        <w:tc>
          <w:tcPr>
            <w:tcW w:w="4695" w:type="dxa"/>
          </w:tcPr>
          <w:p w:rsidR="002B6507" w:rsidRDefault="00F131E2" w:rsidP="005A6F24">
            <w:pPr>
              <w:widowControl w:val="0"/>
              <w:spacing w:before="24" w:after="0" w:line="240" w:lineRule="auto"/>
              <w:ind w:left="1157" w:right="1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2-члано</w:t>
            </w:r>
          </w:p>
        </w:tc>
        <w:tc>
          <w:tcPr>
            <w:tcW w:w="4605" w:type="dxa"/>
          </w:tcPr>
          <w:p w:rsidR="002B6507" w:rsidRDefault="00F131E2" w:rsidP="005A6F24">
            <w:pPr>
              <w:widowControl w:val="0"/>
              <w:spacing w:before="24" w:after="0" w:line="240" w:lineRule="auto"/>
              <w:ind w:left="754" w:right="7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30-48м2</w:t>
            </w:r>
          </w:p>
        </w:tc>
      </w:tr>
      <w:tr w:rsidR="002B6507">
        <w:trPr>
          <w:cantSplit/>
          <w:trHeight w:val="284"/>
          <w:tblHeader/>
        </w:trPr>
        <w:tc>
          <w:tcPr>
            <w:tcW w:w="4695" w:type="dxa"/>
          </w:tcPr>
          <w:p w:rsidR="002B6507" w:rsidRDefault="00F131E2" w:rsidP="005A6F24">
            <w:pPr>
              <w:widowControl w:val="0"/>
              <w:spacing w:before="22" w:after="0" w:line="242" w:lineRule="auto"/>
              <w:ind w:left="1157" w:right="1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3-члано</w:t>
            </w:r>
          </w:p>
        </w:tc>
        <w:tc>
          <w:tcPr>
            <w:tcW w:w="4605" w:type="dxa"/>
          </w:tcPr>
          <w:p w:rsidR="002B6507" w:rsidRDefault="00F131E2" w:rsidP="005A6F24">
            <w:pPr>
              <w:widowControl w:val="0"/>
              <w:spacing w:before="22" w:after="0" w:line="242" w:lineRule="auto"/>
              <w:ind w:left="754" w:right="7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40-56м2</w:t>
            </w:r>
          </w:p>
        </w:tc>
      </w:tr>
      <w:tr w:rsidR="002B6507">
        <w:trPr>
          <w:cantSplit/>
          <w:trHeight w:val="284"/>
          <w:tblHeader/>
        </w:trPr>
        <w:tc>
          <w:tcPr>
            <w:tcW w:w="4695" w:type="dxa"/>
          </w:tcPr>
          <w:p w:rsidR="002B6507" w:rsidRDefault="00F131E2" w:rsidP="005A6F24">
            <w:pPr>
              <w:widowControl w:val="0"/>
              <w:spacing w:before="20" w:after="0" w:line="245" w:lineRule="auto"/>
              <w:ind w:left="1157" w:right="1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4-члано</w:t>
            </w:r>
          </w:p>
        </w:tc>
        <w:tc>
          <w:tcPr>
            <w:tcW w:w="4605" w:type="dxa"/>
          </w:tcPr>
          <w:p w:rsidR="002B6507" w:rsidRDefault="00F131E2" w:rsidP="005A6F24">
            <w:pPr>
              <w:widowControl w:val="0"/>
              <w:spacing w:before="20" w:after="0" w:line="245" w:lineRule="auto"/>
              <w:ind w:left="754" w:right="7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50-64м2</w:t>
            </w:r>
          </w:p>
        </w:tc>
      </w:tr>
      <w:tr w:rsidR="002B6507">
        <w:trPr>
          <w:cantSplit/>
          <w:trHeight w:val="284"/>
          <w:tblHeader/>
        </w:trPr>
        <w:tc>
          <w:tcPr>
            <w:tcW w:w="4695" w:type="dxa"/>
          </w:tcPr>
          <w:p w:rsidR="002B6507" w:rsidRDefault="00F131E2" w:rsidP="005A6F24">
            <w:pPr>
              <w:widowControl w:val="0"/>
              <w:spacing w:before="18" w:after="0" w:line="246" w:lineRule="auto"/>
              <w:ind w:left="1157" w:right="1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5-члано</w:t>
            </w:r>
          </w:p>
        </w:tc>
        <w:tc>
          <w:tcPr>
            <w:tcW w:w="4605" w:type="dxa"/>
          </w:tcPr>
          <w:p w:rsidR="002B6507" w:rsidRDefault="00F131E2" w:rsidP="005A6F24">
            <w:pPr>
              <w:widowControl w:val="0"/>
              <w:spacing w:before="18" w:after="0" w:line="246" w:lineRule="auto"/>
              <w:ind w:left="754" w:right="7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56-77м2</w:t>
            </w:r>
          </w:p>
        </w:tc>
      </w:tr>
      <w:tr w:rsidR="002B6507">
        <w:trPr>
          <w:cantSplit/>
          <w:trHeight w:val="269"/>
          <w:tblHeader/>
        </w:trPr>
        <w:tc>
          <w:tcPr>
            <w:tcW w:w="4695" w:type="dxa"/>
          </w:tcPr>
          <w:p w:rsidR="002B6507" w:rsidRDefault="00F131E2" w:rsidP="005A6F24">
            <w:pPr>
              <w:widowControl w:val="0"/>
              <w:spacing w:before="16" w:after="0" w:line="234" w:lineRule="auto"/>
              <w:ind w:left="1157" w:right="1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6-члано и веће</w:t>
            </w:r>
          </w:p>
        </w:tc>
        <w:tc>
          <w:tcPr>
            <w:tcW w:w="4605" w:type="dxa"/>
          </w:tcPr>
          <w:p w:rsidR="002B6507" w:rsidRDefault="00F131E2" w:rsidP="005A6F24">
            <w:pPr>
              <w:widowControl w:val="0"/>
              <w:spacing w:before="16" w:after="0" w:line="234" w:lineRule="auto"/>
              <w:ind w:left="754" w:right="7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64-86м2</w:t>
            </w:r>
          </w:p>
        </w:tc>
      </w:tr>
    </w:tbl>
    <w:p w:rsidR="002B6507" w:rsidRDefault="002B6507" w:rsidP="005A6F2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6507" w:rsidRDefault="00F131E2" w:rsidP="005A6F24">
      <w:pPr>
        <w:spacing w:after="0"/>
        <w:ind w:left="2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Поред корисне површине објекта, потребно је и да стамбена јединица: </w:t>
      </w:r>
    </w:p>
    <w:p w:rsidR="002B6507" w:rsidRDefault="002B6507" w:rsidP="005A6F24">
      <w:pPr>
        <w:spacing w:after="0"/>
        <w:ind w:left="2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6507" w:rsidRDefault="00F131E2" w:rsidP="005A6F24">
      <w:pPr>
        <w:spacing w:after="0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Испуњава основне услове према критеријумима опремљености основним инсталацијама, конструктивне сигурности и безбедности, као и заштите од спољних климатских утицаја и задовољења основних хигијенских услова становања;</w:t>
      </w:r>
    </w:p>
    <w:p w:rsidR="002B6507" w:rsidRDefault="00F131E2" w:rsidP="005A6F24">
      <w:pPr>
        <w:spacing w:after="0"/>
        <w:ind w:left="2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Буде на територији Општине Бујановац;</w:t>
      </w:r>
    </w:p>
    <w:p w:rsidR="002B6507" w:rsidRDefault="00F131E2" w:rsidP="005A6F24">
      <w:pPr>
        <w:spacing w:after="0"/>
        <w:ind w:left="2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Буде уписана у катастар непокретности на име продавца;</w:t>
      </w:r>
    </w:p>
    <w:p w:rsidR="002B6507" w:rsidRDefault="00F131E2" w:rsidP="005A6F24">
      <w:pPr>
        <w:spacing w:after="0"/>
        <w:ind w:left="2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Буде уписана у катастар непокретности као:</w:t>
      </w:r>
    </w:p>
    <w:p w:rsidR="002B6507" w:rsidRDefault="00F131E2" w:rsidP="005A6F24">
      <w:pPr>
        <w:spacing w:after="0"/>
        <w:ind w:left="1133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непокретност која је преузета из земљишних књига, или</w:t>
      </w:r>
    </w:p>
    <w:p w:rsidR="002B6507" w:rsidRDefault="00F131E2" w:rsidP="005A6F24">
      <w:pPr>
        <w:spacing w:after="0"/>
        <w:ind w:left="1133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непокретност изграђена пре доношења прописа о изградњи, или</w:t>
      </w:r>
    </w:p>
    <w:p w:rsidR="002B6507" w:rsidRDefault="00F131E2" w:rsidP="005A6F24">
      <w:pPr>
        <w:spacing w:after="0"/>
        <w:ind w:left="1133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непокретност за коју је издата употребна дозвола, или</w:t>
      </w:r>
    </w:p>
    <w:p w:rsidR="002B6507" w:rsidRDefault="00F131E2" w:rsidP="005A6F24">
      <w:pPr>
        <w:spacing w:after="0"/>
        <w:ind w:left="1133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непокретност уписана по Закону о озакоњењу објеката;</w:t>
      </w:r>
    </w:p>
    <w:p w:rsidR="002B6507" w:rsidRDefault="00F131E2" w:rsidP="005A6F24">
      <w:pPr>
        <w:spacing w:after="0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Буде уписана у катастар непокретности без терета, не рачунајући при том уписано право стварне службености пролаза и друге забележбе правних чињеница које за исход немају престанак или пренос стварних права на предметној непокретности; </w:t>
      </w:r>
    </w:p>
    <w:p w:rsidR="002B6507" w:rsidRDefault="00F131E2" w:rsidP="005A6F24">
      <w:pPr>
        <w:spacing w:after="0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Има максималну вредност која не прелази износ процењене тржишне вредности по процени лиценцираног проценитеља или овлашћеног судског вештака. Трошкове стручне процене сноси општина Бујановац као потенцијални купац и они не падају на терет потенцијалног продавца.</w:t>
      </w:r>
    </w:p>
    <w:p w:rsidR="002B6507" w:rsidRDefault="00F131E2" w:rsidP="005A6F24">
      <w:pPr>
        <w:spacing w:after="0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Не буде предмет судског спора као и да не постоје нерешени имовинско-правни односи.</w:t>
      </w:r>
    </w:p>
    <w:p w:rsidR="002B6507" w:rsidRDefault="00F131E2" w:rsidP="005A6F24">
      <w:pPr>
        <w:spacing w:after="0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Да буде упарена са одговарајућом изабраном корисничком породицом пре уговарања куповине.</w:t>
      </w:r>
    </w:p>
    <w:p w:rsidR="002B6507" w:rsidRDefault="002B6507" w:rsidP="005A6F24">
      <w:pPr>
        <w:spacing w:after="0"/>
        <w:ind w:left="2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6507" w:rsidRDefault="00F131E2" w:rsidP="006233CF">
      <w:pPr>
        <w:spacing w:after="0"/>
        <w:ind w:left="2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Остали услови везани за предмет куповине</w:t>
      </w:r>
    </w:p>
    <w:p w:rsidR="002B6507" w:rsidRDefault="002B6507" w:rsidP="005A6F24">
      <w:pPr>
        <w:spacing w:after="0"/>
        <w:ind w:left="2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6507" w:rsidRDefault="00F131E2" w:rsidP="005A6F24">
      <w:pPr>
        <w:spacing w:after="0"/>
        <w:ind w:left="2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Стамбена јединица испуњава основне услове за адекватно становање уколико је безбедна и условна за становање, поседује минимум одговарајуће инфраструктуре, односно прикључена је на канализациону мрежу или има септичку јаму, прикључена је на водоводну и електроенергетску мрежу (објекат је опремљен струјом и водом).  </w:t>
      </w:r>
    </w:p>
    <w:p w:rsidR="002B6507" w:rsidRDefault="002B6507" w:rsidP="005A6F24">
      <w:pPr>
        <w:spacing w:after="0"/>
        <w:ind w:left="2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6507" w:rsidRDefault="00F131E2" w:rsidP="005A6F24">
      <w:pPr>
        <w:spacing w:after="0"/>
        <w:ind w:left="2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 погледу минималне нето стамбене површине величина стамбене јединице условљена је бројем чланова домаћинства изабраних корисника пакета донаторске помоћи и биће накнадно разматрана у поступку избора стамбених јединица.</w:t>
      </w:r>
    </w:p>
    <w:p w:rsidR="002B6507" w:rsidRDefault="002B6507" w:rsidP="005A6F24">
      <w:pPr>
        <w:spacing w:after="0"/>
        <w:ind w:left="2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6507" w:rsidRDefault="00F131E2" w:rsidP="005A6F24">
      <w:pPr>
        <w:spacing w:after="0"/>
        <w:ind w:left="2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Испуњеност основних услова за адекватно становање предметне стамбене јединице процењује стручно лице, односно лиценцирани инжењер одговарајуће струке. </w:t>
      </w:r>
    </w:p>
    <w:p w:rsidR="002B6507" w:rsidRDefault="002B6507" w:rsidP="005A6F24">
      <w:pPr>
        <w:spacing w:after="0"/>
        <w:ind w:left="2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6507" w:rsidRDefault="00F131E2" w:rsidP="005A6F24">
      <w:pPr>
        <w:spacing w:after="0"/>
        <w:ind w:left="2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Процену тржишне вредности непокретности утврђује стручно лице, односно овлашћени судски вештак за процену вредности непокретности или лиценцирани проценитељ непокретности и вредност откупа не може бити виша од процењеног износа.</w:t>
      </w:r>
    </w:p>
    <w:p w:rsidR="002B6507" w:rsidRDefault="002B6507" w:rsidP="005A6F2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6507" w:rsidRDefault="00F131E2" w:rsidP="005A6F24">
      <w:pPr>
        <w:spacing w:after="0"/>
        <w:ind w:left="2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Активности процене биће реализоване у фази вредновања пристиглих пријава, а потенцијални продавац, у фази конкурисања, даје сагласност да стручна лица могу да приступе објекту и свим његовим деловима у току вршења стручне процене.</w:t>
      </w:r>
    </w:p>
    <w:p w:rsidR="002B6507" w:rsidRDefault="002B6507" w:rsidP="005A6F24">
      <w:pPr>
        <w:spacing w:after="0"/>
        <w:ind w:left="2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6507" w:rsidRDefault="00F131E2" w:rsidP="006233CF">
      <w:pPr>
        <w:spacing w:after="0"/>
        <w:ind w:left="2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 Потребна документација</w:t>
      </w:r>
    </w:p>
    <w:p w:rsidR="002B6507" w:rsidRDefault="002B6507" w:rsidP="005A6F24">
      <w:pPr>
        <w:spacing w:after="0"/>
        <w:ind w:left="2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6507" w:rsidRDefault="00F131E2" w:rsidP="005A6F24">
      <w:pPr>
        <w:spacing w:after="0"/>
        <w:ind w:left="2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Подносилац пријаве на Јавни позив (потенцијални продавац куће), доставља следећу обавезну документацију:</w:t>
      </w:r>
    </w:p>
    <w:p w:rsidR="002B6507" w:rsidRDefault="002B6507" w:rsidP="005A6F24">
      <w:pPr>
        <w:spacing w:after="0"/>
        <w:ind w:left="2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6507" w:rsidRDefault="00F131E2" w:rsidP="005A6F24">
      <w:pPr>
        <w:spacing w:after="0"/>
        <w:ind w:left="2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Попуњен и потписан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образац пријаве;</w:t>
      </w:r>
    </w:p>
    <w:p w:rsidR="002B6507" w:rsidRDefault="00F131E2" w:rsidP="005A6F24">
      <w:pPr>
        <w:spacing w:after="0"/>
        <w:ind w:left="2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Фотокопију личне карте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(обе стране) или очитану личну карту;</w:t>
      </w:r>
    </w:p>
    <w:p w:rsidR="002B6507" w:rsidRDefault="00F131E2" w:rsidP="005A6F24">
      <w:pPr>
        <w:spacing w:after="0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Оверену изјаву у прописаној форми да прихвата услове Јавног позива</w:t>
      </w:r>
      <w:r>
        <w:rPr>
          <w:rFonts w:ascii="Times New Roman" w:eastAsia="Times New Roman" w:hAnsi="Times New Roman" w:cs="Times New Roman"/>
          <w:sz w:val="24"/>
          <w:szCs w:val="24"/>
        </w:rPr>
        <w:t>, да је сагласан са обрадом датих података о личности и податка о објекту и да стручна лица могу да приступе објекту и свим његовим деловима у току вршења стручне процене;</w:t>
      </w:r>
    </w:p>
    <w:p w:rsidR="002B6507" w:rsidRDefault="00F131E2" w:rsidP="005A6F24">
      <w:pPr>
        <w:spacing w:after="0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Извод из листа непокретности Републичког геодетског завода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Служба за катастар непокретности Бујановац, за стамбену јединицу коју жели да прода, не старији од месец дана;</w:t>
      </w:r>
    </w:p>
    <w:p w:rsidR="002B6507" w:rsidRDefault="00F131E2" w:rsidP="005A6F24">
      <w:pPr>
        <w:spacing w:after="0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5)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Потврду Одељења за локалну пореску администрацију општинске управе Општине Бујановац да су измирене све пореске обавезе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које су настале по основу права својине на предметној стамбеној јединици;</w:t>
      </w:r>
    </w:p>
    <w:p w:rsidR="002B6507" w:rsidRDefault="00F131E2" w:rsidP="005A6F24">
      <w:pPr>
        <w:spacing w:after="0"/>
        <w:ind w:left="2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Доказе о измиреним трошковима за електричну енергију и воду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B6507" w:rsidRDefault="00F131E2" w:rsidP="005A6F24">
      <w:pPr>
        <w:spacing w:after="0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Фотографије стамбене јединице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(5 до 10 фотографија које на јасан и илустративан начин показује стање објекта).</w:t>
      </w:r>
    </w:p>
    <w:p w:rsidR="002B6507" w:rsidRDefault="002B6507" w:rsidP="005A6F2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6507" w:rsidRDefault="00F131E2" w:rsidP="005A6F24">
      <w:pPr>
        <w:spacing w:after="0"/>
        <w:ind w:left="2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Поред наведених доказа, Комисија може од подносиоца пријаве да затражи и друге неопходне доказе ради утврђивања чињеница и околности потребних за доношење правилне и законите одлуке.</w:t>
      </w:r>
    </w:p>
    <w:p w:rsidR="002B6507" w:rsidRDefault="002B6507" w:rsidP="005A6F24">
      <w:pPr>
        <w:spacing w:after="0"/>
        <w:ind w:left="2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6507" w:rsidRDefault="00F131E2" w:rsidP="005A6F24">
      <w:pPr>
        <w:spacing w:after="0"/>
        <w:ind w:left="2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Наводи из изјава предвиђених у овом члану, могу бити предмет провере од стране Комисије.</w:t>
      </w:r>
    </w:p>
    <w:p w:rsidR="002B6507" w:rsidRDefault="002B6507" w:rsidP="005A6F24">
      <w:pPr>
        <w:spacing w:after="0"/>
        <w:ind w:left="2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6507" w:rsidRDefault="00F131E2" w:rsidP="006233CF">
      <w:pPr>
        <w:spacing w:after="0"/>
        <w:ind w:left="2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 Подношење пријава</w:t>
      </w:r>
    </w:p>
    <w:p w:rsidR="002B6507" w:rsidRDefault="002B6507" w:rsidP="005A6F24">
      <w:pPr>
        <w:spacing w:after="0"/>
        <w:ind w:left="2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6507" w:rsidRDefault="00F131E2" w:rsidP="005A6F24">
      <w:pPr>
        <w:spacing w:after="0"/>
        <w:ind w:left="2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eading=h.2et92p0" w:colFirst="0" w:colLast="0"/>
      <w:bookmarkEnd w:id="4"/>
      <w:r>
        <w:rPr>
          <w:rFonts w:ascii="Times New Roman" w:eastAsia="Times New Roman" w:hAnsi="Times New Roman" w:cs="Times New Roman"/>
          <w:sz w:val="24"/>
          <w:szCs w:val="24"/>
        </w:rPr>
        <w:t>Комисија објављује Јавни позив на званичној интернет страници Општине Бујановац (www.bujanovac.rs), на огласним таблама Општине Бујановац и Центра за социјални рад Бујановац.</w:t>
      </w:r>
    </w:p>
    <w:p w:rsidR="002B6507" w:rsidRDefault="002B6507" w:rsidP="005A6F2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6507" w:rsidRDefault="00F131E2" w:rsidP="005A6F24">
      <w:pPr>
        <w:spacing w:after="0"/>
        <w:ind w:left="2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Образац пријаве и пратеће прописане изјаве доступне су званичној интернет страници Општине Бујановац  (www.bujanovac.rs). </w:t>
      </w:r>
    </w:p>
    <w:p w:rsidR="002B6507" w:rsidRDefault="00F131E2" w:rsidP="005A6F24">
      <w:pPr>
        <w:spacing w:after="0"/>
        <w:ind w:left="2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B6507" w:rsidRDefault="00F131E2" w:rsidP="005A6F24">
      <w:pPr>
        <w:spacing w:after="0"/>
        <w:ind w:left="2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Пријава на Јавни позив и пратећа документација достављају се у затвореној коверти и предају се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писарници Општинске Управе Бујановац у Бујановцу на адреси: Карађорђа Петровића бр. 115 </w:t>
      </w:r>
      <w:r>
        <w:rPr>
          <w:rFonts w:ascii="Times New Roman" w:eastAsia="Times New Roman" w:hAnsi="Times New Roman" w:cs="Times New Roman"/>
          <w:sz w:val="24"/>
          <w:szCs w:val="24"/>
        </w:rPr>
        <w:t>или путем поште на адресу: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B6507" w:rsidRDefault="00F131E2" w:rsidP="005A6F2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:rsidR="002B6507" w:rsidRDefault="002B6507" w:rsidP="005A6F2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2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6507" w:rsidRDefault="00F131E2" w:rsidP="006233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2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ОПШТИНСКА УПРАВА БУЈАНОВАЦ</w:t>
      </w:r>
    </w:p>
    <w:p w:rsidR="002B6507" w:rsidRDefault="00F131E2" w:rsidP="006233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2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Улица: Карађорђа Петровића бр. 115</w:t>
      </w:r>
    </w:p>
    <w:p w:rsidR="002B6507" w:rsidRDefault="00F131E2" w:rsidP="006233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2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17520 Бујановац</w:t>
      </w:r>
    </w:p>
    <w:p w:rsidR="002B6507" w:rsidRDefault="002B6507" w:rsidP="005A6F2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2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6507" w:rsidRDefault="00F131E2" w:rsidP="006233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2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са напоменом „НЕ ОТВАРАТИ - ЈАВНИ ПОЗИВ</w:t>
      </w:r>
    </w:p>
    <w:p w:rsidR="002B6507" w:rsidRDefault="00F131E2" w:rsidP="005A6F2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2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за куповину стамбених јединица за решавање стамбених потреба корисника пакета донаторке помоћи у оквиру пројекта  „Побољшање услова живота привремено расељених Рома и других маргинализованих група у Бујановцу кроз социјално становање и мере активне инклузије“</w:t>
      </w:r>
    </w:p>
    <w:p w:rsidR="002B6507" w:rsidRDefault="002B6507" w:rsidP="005A6F2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2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6507" w:rsidRDefault="002B6507" w:rsidP="005A6F24">
      <w:pPr>
        <w:spacing w:after="0"/>
        <w:ind w:left="2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6507" w:rsidRDefault="00F131E2" w:rsidP="005A6F24">
      <w:pPr>
        <w:shd w:val="clear" w:color="auto" w:fill="FFFFFF"/>
        <w:spacing w:after="0"/>
        <w:ind w:left="2" w:hanging="2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Рок за подношење пријаве са пратећом документацијом </w:t>
      </w:r>
      <w:r w:rsidRPr="006233CF">
        <w:rPr>
          <w:rFonts w:ascii="Times New Roman" w:eastAsia="Times New Roman" w:hAnsi="Times New Roman" w:cs="Times New Roman"/>
          <w:sz w:val="24"/>
          <w:szCs w:val="24"/>
          <w:u w:val="single"/>
        </w:rPr>
        <w:t>је</w:t>
      </w:r>
      <w:r w:rsidRPr="006233C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30 (тридесет) дана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од </w:t>
      </w:r>
      <w:r w:rsidR="006233C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дана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објављивања позива.</w:t>
      </w:r>
    </w:p>
    <w:p w:rsidR="002B6507" w:rsidRDefault="002B6507" w:rsidP="005A6F2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2B6507" w:rsidRDefault="002B6507" w:rsidP="005A6F2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2B6507" w:rsidRDefault="00F131E2" w:rsidP="006233CF">
      <w:pPr>
        <w:spacing w:after="0"/>
        <w:ind w:left="2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 Поступак одлучивања</w:t>
      </w:r>
    </w:p>
    <w:p w:rsidR="002B6507" w:rsidRDefault="002B6507" w:rsidP="005A6F24">
      <w:pPr>
        <w:tabs>
          <w:tab w:val="left" w:pos="705"/>
        </w:tabs>
        <w:spacing w:after="0"/>
        <w:ind w:left="2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6507" w:rsidRDefault="00F131E2" w:rsidP="005A6F24">
      <w:pPr>
        <w:spacing w:after="0"/>
        <w:ind w:left="2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Поступак за избор стамбених јединица спроводи Комисија.</w:t>
      </w:r>
    </w:p>
    <w:p w:rsidR="002B6507" w:rsidRDefault="002B6507" w:rsidP="005A6F24">
      <w:pPr>
        <w:spacing w:after="0"/>
        <w:ind w:left="2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6507" w:rsidRDefault="00F131E2" w:rsidP="005A6F24">
      <w:pPr>
        <w:spacing w:after="0"/>
        <w:ind w:left="2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Чињенице и околности од значаја за поступање и одлучивање Комисија утврђује на основу доказа достављених уз пријаву на Јавни позив, доказа прибављених по службеној дужности, извештаја лиценцираних инжењера и проценитеља имовине, изјава корисника у поступку мечинга као и на основу других доказа утврђених применом осталих доказних средстава предвиђених законом.</w:t>
      </w:r>
    </w:p>
    <w:p w:rsidR="002B6507" w:rsidRDefault="002B6507" w:rsidP="005A6F24">
      <w:pPr>
        <w:spacing w:after="0"/>
        <w:ind w:left="2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6507" w:rsidRDefault="00F131E2" w:rsidP="005A6F24">
      <w:pPr>
        <w:tabs>
          <w:tab w:val="left" w:pos="705"/>
        </w:tabs>
        <w:spacing w:after="0"/>
        <w:ind w:left="2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Комисија неће разматрати неблаговремено поднете пријаве. </w:t>
      </w:r>
    </w:p>
    <w:p w:rsidR="002B6507" w:rsidRDefault="002B6507" w:rsidP="005A6F24">
      <w:pPr>
        <w:spacing w:after="0" w:line="240" w:lineRule="auto"/>
        <w:ind w:left="2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6507" w:rsidRDefault="00F131E2" w:rsidP="005A6F24">
      <w:pPr>
        <w:spacing w:after="0" w:line="240" w:lineRule="auto"/>
        <w:ind w:left="2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Ако је пријава неразумљива или непотпуна, Комисија може позвати подносиоца пријаве да достави појашњења и отклони недостатке у року не краћем од 8 дана, уз упозорење на последице пропуштања.  </w:t>
      </w:r>
    </w:p>
    <w:p w:rsidR="002B6507" w:rsidRDefault="002B6507" w:rsidP="005A6F24">
      <w:pPr>
        <w:spacing w:after="0" w:line="240" w:lineRule="auto"/>
        <w:ind w:left="2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6507" w:rsidRDefault="00F131E2" w:rsidP="005A6F24">
      <w:pPr>
        <w:spacing w:after="0" w:line="240" w:lineRule="auto"/>
        <w:ind w:left="2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Подносиоци пријава на Јавни позив су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 обавези да Комисију обавесте о свим променама које наступе од момента подношења пријаве до доношења Одлуке о куповини кућа </w:t>
      </w:r>
      <w:r>
        <w:rPr>
          <w:rFonts w:ascii="Times New Roman" w:eastAsia="Times New Roman" w:hAnsi="Times New Roman" w:cs="Times New Roman"/>
          <w:sz w:val="24"/>
          <w:szCs w:val="24"/>
        </w:rPr>
        <w:t>у оквиру пројекта „Побољшање услова живота привремено расељених Рома и других маргинализованих група у Бујановцу кроз социјално становање и мере активне инклузије“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а у вези са предметном стамбеном јединицом или подносиоцем пријаве, од значаја за поднету пријаву.</w:t>
      </w:r>
    </w:p>
    <w:p w:rsidR="002B6507" w:rsidRDefault="002B6507" w:rsidP="005A6F24">
      <w:pPr>
        <w:spacing w:after="0"/>
        <w:ind w:left="2" w:hanging="2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2B6507" w:rsidRDefault="00F131E2" w:rsidP="005A6F24">
      <w:pPr>
        <w:spacing w:after="0" w:line="240" w:lineRule="auto"/>
        <w:ind w:left="2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Подносиоци пријава који испуњавају услове наведене у Јавном позиву подлежу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провери навода из пријавног обрасца и достављене документације</w:t>
      </w:r>
      <w:r>
        <w:rPr>
          <w:rFonts w:ascii="Times New Roman" w:eastAsia="Times New Roman" w:hAnsi="Times New Roman" w:cs="Times New Roman"/>
          <w:sz w:val="24"/>
          <w:szCs w:val="24"/>
        </w:rPr>
        <w:t>, посебно оне које се воде у службеним евиденцијама надлежних институција Републике Србије или општине Бујановац.</w:t>
      </w:r>
    </w:p>
    <w:p w:rsidR="002B6507" w:rsidRDefault="002B6507" w:rsidP="005A6F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6507" w:rsidRDefault="00F131E2" w:rsidP="005A6F24">
      <w:pPr>
        <w:spacing w:after="0"/>
        <w:ind w:left="2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Након разматрања пријава и провере документације, Комисија прибавља и прихвата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извештаје лиценцираних инжењера и судског вештака за процену вредности непокретности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или проценитеља имовине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ангажованих од стране Општине Бујановац.</w:t>
      </w:r>
    </w:p>
    <w:p w:rsidR="002B6507" w:rsidRDefault="002B6507" w:rsidP="005A6F24">
      <w:pPr>
        <w:spacing w:after="0"/>
        <w:ind w:left="2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6507" w:rsidRDefault="00F131E2" w:rsidP="005A6F24">
      <w:pPr>
        <w:spacing w:after="0"/>
        <w:ind w:left="2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 случају да извештај судског вештака за процену вредности непокретности или лиценцираног проценитеља покаже да је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тржишна вредност стамбене јединице мања од цене наведене у пријавном обрасцу</w:t>
      </w:r>
      <w:r>
        <w:rPr>
          <w:rFonts w:ascii="Times New Roman" w:eastAsia="Times New Roman" w:hAnsi="Times New Roman" w:cs="Times New Roman"/>
          <w:sz w:val="24"/>
          <w:szCs w:val="24"/>
        </w:rPr>
        <w:t>, Комисија ће позвати потенцијалног продавца да се у писаном облику изјасни о спремности прихватања цене исказане од стране судског вештака или проценитеља имовине. Ако је потенцијални продавац спреман да прихвати процењену вредност, Комисија наставља да разматра предметни захтев. У супротном, наведени захтев неће бити даље предмет разматрања од стране Комисије.</w:t>
      </w:r>
    </w:p>
    <w:p w:rsidR="002B6507" w:rsidRDefault="002B6507" w:rsidP="005A6F24">
      <w:pPr>
        <w:spacing w:after="0"/>
        <w:ind w:left="2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6507" w:rsidRDefault="00F131E2" w:rsidP="005A6F24">
      <w:pPr>
        <w:spacing w:after="0"/>
        <w:ind w:left="2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Комисија сачињава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листу стамбених јединица које су прихватљиве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као предмет куповине након упаривања са крајњим корисницима.</w:t>
      </w:r>
    </w:p>
    <w:p w:rsidR="002B6507" w:rsidRDefault="002B6507" w:rsidP="005A6F24">
      <w:pPr>
        <w:spacing w:after="0"/>
        <w:ind w:left="2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6507" w:rsidRDefault="00F131E2" w:rsidP="005A6F24">
      <w:pPr>
        <w:spacing w:after="0"/>
        <w:ind w:left="2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Стамбене јединице које изабрани корисници одаберу за откуп, постају део листе, а остале стамбене јединице ће бити на резервној листи.</w:t>
      </w:r>
    </w:p>
    <w:p w:rsidR="002B6507" w:rsidRDefault="002B6507" w:rsidP="005A6F24">
      <w:pPr>
        <w:spacing w:after="0"/>
        <w:ind w:left="2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6507" w:rsidRDefault="00F131E2" w:rsidP="005A6F24">
      <w:pPr>
        <w:spacing w:after="0"/>
        <w:ind w:left="2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Комисија сачињава листу стамбених јединица које су прихватљиве као предмет куповине и исту усваја.  </w:t>
      </w:r>
      <w:r>
        <w:rPr>
          <w:rFonts w:ascii="Times New Roman" w:eastAsia="Times New Roman" w:hAnsi="Times New Roman" w:cs="Times New Roman"/>
          <w:sz w:val="24"/>
          <w:szCs w:val="24"/>
        </w:rPr>
        <w:t>Након усвајања листа се објављује на званичној интернет страници Општине Бујановац, огласним таблама Општине Бујановац и Центра за социјални рад Бујановац.</w:t>
      </w:r>
    </w:p>
    <w:p w:rsidR="002B6507" w:rsidRDefault="002B6507" w:rsidP="005A6F24">
      <w:pPr>
        <w:spacing w:after="0"/>
        <w:ind w:left="2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6507" w:rsidRDefault="00F131E2" w:rsidP="005A6F24">
      <w:pPr>
        <w:spacing w:after="0"/>
        <w:ind w:left="2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објављену листу подносиоци пријаве имају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право приговора у року од осам (8) дана од дана објављивања.</w:t>
      </w:r>
    </w:p>
    <w:p w:rsidR="002B6507" w:rsidRDefault="002B6507" w:rsidP="005A6F24">
      <w:pPr>
        <w:spacing w:after="0"/>
        <w:ind w:left="2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6507" w:rsidRDefault="00F131E2" w:rsidP="005A6F24">
      <w:pPr>
        <w:spacing w:after="0"/>
        <w:ind w:left="2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Комисија у року од осам (8) дана од дана истека рока за приговоре утврђује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Коначну ранг листу кућа које ће бити предмет куповине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која се објављује на званичној интернет страници Општине Бујановац као и на огласним таблама Општине Бујановац и Центра за социјални рад Бујановац. </w:t>
      </w:r>
    </w:p>
    <w:p w:rsidR="002B6507" w:rsidRDefault="002B6507" w:rsidP="005A6F2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6507" w:rsidRDefault="00F131E2" w:rsidP="005A6F24">
      <w:pPr>
        <w:spacing w:after="0"/>
        <w:ind w:left="2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 појединачним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тројним уговорима о куповини непокретности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закљученим између </w:t>
      </w:r>
      <w:sdt>
        <w:sdtPr>
          <w:tag w:val="goog_rdk_0"/>
          <w:id w:val="269626"/>
        </w:sdtPr>
        <w:sdtContent/>
      </w:sdt>
      <w:sdt>
        <w:sdtPr>
          <w:tag w:val="goog_rdk_1"/>
          <w:id w:val="269627"/>
        </w:sdtPr>
        <w:sdtContent/>
      </w:sdt>
      <w:r w:rsidR="005A6F24">
        <w:rPr>
          <w:rFonts w:ascii="Times New Roman" w:eastAsia="Times New Roman" w:hAnsi="Times New Roman" w:cs="Times New Roman"/>
          <w:sz w:val="24"/>
          <w:szCs w:val="24"/>
        </w:rPr>
        <w:t>председника Комисије</w:t>
      </w:r>
      <w:r w:rsidR="006233CF">
        <w:rPr>
          <w:rFonts w:ascii="Times New Roman" w:eastAsia="Times New Roman" w:hAnsi="Times New Roman" w:cs="Times New Roman"/>
          <w:sz w:val="24"/>
          <w:szCs w:val="24"/>
          <w:lang/>
        </w:rPr>
        <w:t xml:space="preserve"> испред Општине Бујановац</w:t>
      </w:r>
      <w:r>
        <w:rPr>
          <w:rFonts w:ascii="Times New Roman" w:eastAsia="Times New Roman" w:hAnsi="Times New Roman" w:cs="Times New Roman"/>
          <w:sz w:val="24"/>
          <w:szCs w:val="24"/>
        </w:rPr>
        <w:t>, продавца стамбене јединице и изабране корисничке породице биће утврђено да ће Општина Бујановац са посебног наменског рачуна отвореног за реализацију пројекта измирити уговорену вредност непокретности, као и услови и динамика плаћања.</w:t>
      </w:r>
    </w:p>
    <w:p w:rsidR="002B6507" w:rsidRDefault="002B6507" w:rsidP="005A6F24">
      <w:pPr>
        <w:spacing w:after="0"/>
        <w:ind w:left="2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6507" w:rsidRDefault="002B6507" w:rsidP="005A6F24">
      <w:pPr>
        <w:spacing w:after="0"/>
        <w:ind w:left="2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6507" w:rsidRDefault="00F131E2" w:rsidP="006233CF">
      <w:pPr>
        <w:spacing w:after="0"/>
        <w:ind w:left="2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8. Додатне информације о јавном позиву</w:t>
      </w:r>
    </w:p>
    <w:p w:rsidR="002B6507" w:rsidRDefault="002B6507" w:rsidP="005A6F24">
      <w:pPr>
        <w:spacing w:after="0"/>
        <w:ind w:left="2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6507" w:rsidRDefault="00F131E2" w:rsidP="005A6F24">
      <w:pPr>
        <w:spacing w:after="0"/>
        <w:ind w:left="2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Додатне информације о Јавном позиву могу се добити од </w:t>
      </w:r>
      <w:r w:rsidR="005A6F24">
        <w:rPr>
          <w:rFonts w:ascii="Times New Roman" w:eastAsia="Times New Roman" w:hAnsi="Times New Roman" w:cs="Times New Roman"/>
          <w:sz w:val="24"/>
          <w:szCs w:val="24"/>
        </w:rPr>
        <w:t>Мукарем Аметија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радним данима од </w:t>
      </w:r>
      <w:r w:rsidR="005A6F24" w:rsidRPr="005A6F24">
        <w:rPr>
          <w:rFonts w:ascii="Times New Roman" w:eastAsia="Times New Roman" w:hAnsi="Times New Roman" w:cs="Times New Roman"/>
          <w:b/>
          <w:sz w:val="24"/>
          <w:szCs w:val="24"/>
        </w:rPr>
        <w:t>10:00 до 14:00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часова лично у Општинској управи Бујановац или путем телефона </w:t>
      </w:r>
      <w:r w:rsidR="005A6F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6F24" w:rsidRPr="005A6F24">
        <w:rPr>
          <w:rFonts w:ascii="Times New Roman" w:eastAsia="Times New Roman" w:hAnsi="Times New Roman" w:cs="Times New Roman"/>
          <w:b/>
          <w:sz w:val="24"/>
          <w:szCs w:val="24"/>
        </w:rPr>
        <w:t>063 82 51</w:t>
      </w:r>
      <w:r w:rsidR="006233CF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5A6F24" w:rsidRPr="005A6F24">
        <w:rPr>
          <w:rFonts w:ascii="Times New Roman" w:eastAsia="Times New Roman" w:hAnsi="Times New Roman" w:cs="Times New Roman"/>
          <w:b/>
          <w:sz w:val="24"/>
          <w:szCs w:val="24"/>
        </w:rPr>
        <w:t>945</w:t>
      </w:r>
      <w:r w:rsidR="006233CF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или путем мејла</w:t>
      </w:r>
      <w:r w:rsidR="006233CF">
        <w:rPr>
          <w:rFonts w:ascii="Times New Roman" w:eastAsia="Times New Roman" w:hAnsi="Times New Roman" w:cs="Times New Roman"/>
          <w:sz w:val="24"/>
          <w:szCs w:val="24"/>
          <w:lang/>
        </w:rPr>
        <w:t xml:space="preserve"> на</w:t>
      </w:r>
      <w:r w:rsidR="005A6F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history="1">
        <w:r w:rsidR="005A6F24" w:rsidRPr="003B143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mukarrem.ameti@gmail.com</w:t>
        </w:r>
      </w:hyperlink>
      <w:r w:rsidR="005A6F24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B6507" w:rsidRDefault="002B6507" w:rsidP="005A6F24">
      <w:pPr>
        <w:spacing w:after="0"/>
        <w:ind w:left="2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6507" w:rsidRDefault="002B6507" w:rsidP="005A6F24">
      <w:pPr>
        <w:spacing w:after="0" w:line="240" w:lineRule="auto"/>
        <w:ind w:left="2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6507" w:rsidRDefault="002B6507" w:rsidP="005A6F24">
      <w:pPr>
        <w:spacing w:after="0" w:line="240" w:lineRule="auto"/>
        <w:ind w:left="2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6507" w:rsidRDefault="002B6507" w:rsidP="005A6F24">
      <w:pPr>
        <w:spacing w:after="0" w:line="240" w:lineRule="auto"/>
        <w:ind w:left="2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6507" w:rsidRDefault="00F131E2" w:rsidP="005A6F24">
      <w:pPr>
        <w:spacing w:after="0" w:line="240" w:lineRule="auto"/>
        <w:ind w:left="2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B6507" w:rsidRDefault="002B6507" w:rsidP="005A6F24">
      <w:pPr>
        <w:jc w:val="both"/>
      </w:pPr>
    </w:p>
    <w:sectPr w:rsidR="002B6507" w:rsidSect="002B65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170" w:left="1440" w:header="720" w:footer="720" w:gutter="0"/>
      <w:pgNumType w:start="1"/>
      <w:cols w:space="720"/>
    </w:sectPr>
  </w:body>
</w:document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A5" w15:done="0"/>
  <w15:commentEx w15:paraId="000000A6" w15:paraIdParent="000000A5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D04" w:rsidRDefault="00B47D04" w:rsidP="002B6507">
      <w:pPr>
        <w:spacing w:after="0" w:line="240" w:lineRule="auto"/>
      </w:pPr>
      <w:r>
        <w:separator/>
      </w:r>
    </w:p>
  </w:endnote>
  <w:endnote w:type="continuationSeparator" w:id="1">
    <w:p w:rsidR="00B47D04" w:rsidRDefault="00B47D04" w:rsidP="002B6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507" w:rsidRDefault="002B650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507" w:rsidRDefault="00545BC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 w:rsidR="00F131E2">
      <w:rPr>
        <w:color w:val="000000"/>
      </w:rPr>
      <w:instrText>PAGE</w:instrText>
    </w:r>
    <w:r>
      <w:rPr>
        <w:color w:val="000000"/>
      </w:rPr>
      <w:fldChar w:fldCharType="separate"/>
    </w:r>
    <w:r w:rsidR="006233CF">
      <w:rPr>
        <w:noProof/>
        <w:color w:val="000000"/>
      </w:rPr>
      <w:t>1</w:t>
    </w:r>
    <w:r>
      <w:rPr>
        <w:color w:val="000000"/>
      </w:rPr>
      <w:fldChar w:fldCharType="end"/>
    </w:r>
  </w:p>
  <w:p w:rsidR="002B6507" w:rsidRDefault="002B650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507" w:rsidRDefault="002B650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D04" w:rsidRDefault="00B47D04" w:rsidP="002B6507">
      <w:pPr>
        <w:spacing w:after="0" w:line="240" w:lineRule="auto"/>
      </w:pPr>
      <w:r>
        <w:separator/>
      </w:r>
    </w:p>
  </w:footnote>
  <w:footnote w:type="continuationSeparator" w:id="1">
    <w:p w:rsidR="00B47D04" w:rsidRDefault="00B47D04" w:rsidP="002B6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507" w:rsidRDefault="002B650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507" w:rsidRDefault="00F131E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5886450" cy="1657350"/>
          <wp:effectExtent l="0" t="0" r="0" b="0"/>
          <wp:docPr id="72751240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86450" cy="1657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507" w:rsidRDefault="002B650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6507"/>
    <w:rsid w:val="002B6507"/>
    <w:rsid w:val="00442B9D"/>
    <w:rsid w:val="00545BCE"/>
    <w:rsid w:val="005A6F24"/>
    <w:rsid w:val="006233CF"/>
    <w:rsid w:val="006740B4"/>
    <w:rsid w:val="0090143C"/>
    <w:rsid w:val="00944D5E"/>
    <w:rsid w:val="00B47D04"/>
    <w:rsid w:val="00F13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789"/>
  </w:style>
  <w:style w:type="paragraph" w:styleId="Heading1">
    <w:name w:val="heading 1"/>
    <w:basedOn w:val="Normal"/>
    <w:next w:val="Normal"/>
    <w:uiPriority w:val="9"/>
    <w:qFormat/>
    <w:rsid w:val="0046397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46397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46397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46397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463978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46397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B6507"/>
  </w:style>
  <w:style w:type="paragraph" w:styleId="Title">
    <w:name w:val="Title"/>
    <w:basedOn w:val="Normal"/>
    <w:next w:val="Normal"/>
    <w:uiPriority w:val="10"/>
    <w:qFormat/>
    <w:rsid w:val="00463978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"/>
    <w:rsid w:val="00463978"/>
  </w:style>
  <w:style w:type="paragraph" w:styleId="Header">
    <w:name w:val="header"/>
    <w:basedOn w:val="Normal"/>
    <w:link w:val="HeaderChar"/>
    <w:uiPriority w:val="99"/>
    <w:unhideWhenUsed/>
    <w:rsid w:val="00BB1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B0C"/>
  </w:style>
  <w:style w:type="paragraph" w:styleId="Footer">
    <w:name w:val="footer"/>
    <w:basedOn w:val="Normal"/>
    <w:link w:val="FooterChar"/>
    <w:uiPriority w:val="99"/>
    <w:unhideWhenUsed/>
    <w:rsid w:val="00BB1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B0C"/>
  </w:style>
  <w:style w:type="paragraph" w:styleId="ListParagraph">
    <w:name w:val="List Paragraph"/>
    <w:basedOn w:val="Normal"/>
    <w:uiPriority w:val="34"/>
    <w:qFormat/>
    <w:rsid w:val="00224847"/>
    <w:pPr>
      <w:ind w:left="720"/>
      <w:contextualSpacing/>
    </w:pPr>
  </w:style>
  <w:style w:type="paragraph" w:styleId="Subtitle">
    <w:name w:val="Subtitle"/>
    <w:basedOn w:val="Normal"/>
    <w:next w:val="Normal"/>
    <w:rsid w:val="002B650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6397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46397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rsid w:val="004639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3978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6397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0F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0FE0"/>
    <w:rPr>
      <w:b/>
      <w:bCs/>
      <w:sz w:val="20"/>
      <w:szCs w:val="20"/>
    </w:rPr>
  </w:style>
  <w:style w:type="table" w:customStyle="1" w:styleId="a1">
    <w:basedOn w:val="TableNormal"/>
    <w:rsid w:val="0046397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2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84E"/>
    <w:rPr>
      <w:rFonts w:ascii="Tahoma" w:hAnsi="Tahoma" w:cs="Tahoma"/>
      <w:sz w:val="16"/>
      <w:szCs w:val="16"/>
    </w:rPr>
  </w:style>
  <w:style w:type="table" w:customStyle="1" w:styleId="a2">
    <w:basedOn w:val="TableNormal"/>
    <w:rsid w:val="002B650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5A6F2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karrem.ameti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t2pgjybxXk5R15H0zpGBeO6qTYQ==">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1871</Words>
  <Characters>10667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Simeunović</dc:creator>
  <cp:lastModifiedBy>op</cp:lastModifiedBy>
  <cp:revision>5</cp:revision>
  <dcterms:created xsi:type="dcterms:W3CDTF">2024-03-12T12:16:00Z</dcterms:created>
  <dcterms:modified xsi:type="dcterms:W3CDTF">2024-03-12T12:49:00Z</dcterms:modified>
</cp:coreProperties>
</file>