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6537F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</w:t>
      </w:r>
      <w:r w:rsidR="00304C0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- SHTOJCA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</w:t>
      </w:r>
    </w:p>
    <w:p w:rsidR="00030EE3" w:rsidRPr="0066540E" w:rsidRDefault="00030EE3" w:rsidP="006537F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12AAC" w:rsidRPr="00304C0E" w:rsidRDefault="00612AAC" w:rsidP="006537F0">
      <w:pPr>
        <w:spacing w:after="0" w:line="240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q-AL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304C0E">
        <w:rPr>
          <w:rFonts w:ascii="Times New Roman" w:hAnsi="Times New Roman" w:cs="Times New Roman"/>
          <w:b/>
          <w:color w:val="009999"/>
          <w:sz w:val="28"/>
          <w:szCs w:val="28"/>
          <w:lang w:val="sq-AL"/>
        </w:rPr>
        <w:t xml:space="preserve"> - APLIKIM</w:t>
      </w:r>
    </w:p>
    <w:p w:rsidR="00612AAC" w:rsidRPr="00916EC9" w:rsidRDefault="00612AAC" w:rsidP="006537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75765" w:rsidRDefault="00030EE3" w:rsidP="006537F0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="00304C0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– TË DHËNAT PERSONALE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6537F0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537F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Default="00775046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q-AL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  <w:p w:rsidR="00304C0E" w:rsidRPr="00304C0E" w:rsidRDefault="00304C0E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q-AL"/>
              </w:rPr>
              <w:t>Emri dhe mbiemri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537F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Default="004F2A9E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  <w:p w:rsidR="00304C0E" w:rsidRPr="00304C0E" w:rsidRDefault="00304C0E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Numri i ID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6537F0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537F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r w:rsidR="00304C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- Adresa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6537F0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6537F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Default="00030EE3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q-AL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304C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q-AL"/>
              </w:rPr>
              <w:t xml:space="preserve"> –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  <w:p w:rsidR="00304C0E" w:rsidRPr="00304C0E" w:rsidRDefault="00304C0E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q-AL"/>
              </w:rPr>
              <w:t>Numri i telefonit - fiksi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6537F0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Default="00775046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q-AL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304C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q-AL"/>
              </w:rPr>
              <w:t xml:space="preserve"> - </w:t>
            </w: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мобилни</w:t>
            </w:r>
          </w:p>
          <w:p w:rsidR="00304C0E" w:rsidRPr="00304C0E" w:rsidRDefault="00304C0E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q-AL"/>
              </w:rPr>
              <w:t>Numri i telefonit - mobili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6537F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65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65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304C0E" w:rsidRDefault="00304C0E" w:rsidP="0065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04C0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 MASA/PAKETA E MASAVE PËR TË CILAT APLIKONI</w:t>
      </w:r>
    </w:p>
    <w:p w:rsidR="006537F0" w:rsidRPr="00304C0E" w:rsidRDefault="006537F0" w:rsidP="0065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2F7814" w:rsidRDefault="00B6461F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304C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:rsidR="006537F0" w:rsidRDefault="006537F0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04C0E" w:rsidRPr="00304C0E" w:rsidRDefault="00304C0E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04C0E">
        <w:rPr>
          <w:rFonts w:ascii="Times New Roman" w:eastAsia="Times New Roman" w:hAnsi="Times New Roman" w:cs="Times New Roman"/>
          <w:sz w:val="24"/>
          <w:szCs w:val="24"/>
          <w:lang w:val="sq-AL"/>
        </w:rPr>
        <w:t>Përdoruesit përfundimtarë kanë mundës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inë të aplikojnë më së shumti për dy masa</w:t>
      </w:r>
      <w:r w:rsidRPr="00304C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individuale të rehabilitimit të energjisë ose për një nga paketat e masave.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Masat në pikat </w:t>
      </w:r>
      <w:r w:rsidRPr="00304C0E">
        <w:rPr>
          <w:rFonts w:ascii="Times New Roman" w:eastAsia="Times New Roman" w:hAnsi="Times New Roman" w:cs="Times New Roman"/>
          <w:sz w:val="24"/>
          <w:szCs w:val="24"/>
          <w:lang w:val="sq-AL"/>
        </w:rPr>
        <w:t>7) dhe 10) nuk përfshihen në masat individuale sepse nuk janë të destinuara për aplikim të pavarur.</w:t>
      </w:r>
    </w:p>
    <w:p w:rsidR="006537F0" w:rsidRDefault="006537F0" w:rsidP="0065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2F7814" w:rsidRDefault="002F7814" w:rsidP="0065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304C0E" w:rsidRDefault="006537F0" w:rsidP="0065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</w:t>
      </w:r>
      <w:r w:rsidR="00304C0E" w:rsidRPr="00304C0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MASAT INDIVIDUALE PËR TË CILËN APLIKONI</w:t>
      </w:r>
    </w:p>
    <w:p w:rsidR="006537F0" w:rsidRPr="00304C0E" w:rsidRDefault="006537F0" w:rsidP="0065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6E0396" w:rsidRDefault="006E0396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:rsidR="00304C0E" w:rsidRDefault="00304C0E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Pjesëmarrja e granteve për zbatimin e nj</w:t>
      </w:r>
      <w:r w:rsidRPr="00304C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ës</w:t>
      </w:r>
      <w:r w:rsidRPr="00304C0E">
        <w:rPr>
          <w:rFonts w:ascii="Times New Roman" w:eastAsia="Times New Roman" w:hAnsi="Times New Roman" w:cs="Times New Roman"/>
          <w:sz w:val="24"/>
          <w:szCs w:val="24"/>
          <w:lang w:val="sq-AL"/>
        </w:rPr>
        <w:t>/masa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</w:t>
      </w:r>
      <w:r w:rsidRPr="00304C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individuale arrin në maksimum 50% të vlerës totale të investimit.</w:t>
      </w:r>
    </w:p>
    <w:p w:rsidR="006537F0" w:rsidRPr="00304C0E" w:rsidRDefault="006537F0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6FD8" w:rsidRDefault="00536FD8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:rsidR="00304C0E" w:rsidRDefault="00304C0E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04C0E">
        <w:rPr>
          <w:rFonts w:ascii="Times New Roman" w:eastAsia="Times New Roman" w:hAnsi="Times New Roman" w:cs="Times New Roman"/>
          <w:sz w:val="24"/>
          <w:szCs w:val="24"/>
          <w:lang w:val="sq-AL"/>
        </w:rPr>
        <w:t>Përdoruesi përfundimtar që jeton në shtëpi familjare ka të drejtë të aplikojë për maksimum dy masa individuale nga pika. 1)-6), 8) dhe 9) nga seksioni I i Thirrjes Publike. Përveç njërës nga masat në pikën 4) ose 5) ose 6) për të cilin është aplikuar, përdoruesi përfundimtar ka të drejtë të aplikojë shtesë për masën 7).</w:t>
      </w:r>
    </w:p>
    <w:p w:rsidR="006537F0" w:rsidRPr="00304C0E" w:rsidRDefault="006537F0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F7814" w:rsidRDefault="00536FD8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04C0E" w:rsidRDefault="00304C0E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04C0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Përdoruesi përfundimtar që banon në apartament ka të drejtë të aplikojë për maksimum dy masa individuale nga pika. 1), 4) dhe 6) nga seksioni I i Thirrjes Publike. Përveç njërës nga masat në pikën 1)-6) ose 8) për të cilin </w:t>
      </w:r>
      <w:r w:rsidRPr="00304C0E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aplikohet, përdoruesi përfundimtar ka të drejtë të aplikojë shtesë për masën 10) nëse Aneksi 2 parashikon prodhimin e dokumentacionit teknik.</w:t>
      </w:r>
    </w:p>
    <w:p w:rsidR="006537F0" w:rsidRPr="00304C0E" w:rsidRDefault="006537F0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C12AC" w:rsidRDefault="005C12AC" w:rsidP="0065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p w:rsidR="00304C0E" w:rsidRDefault="00304C0E" w:rsidP="00653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304C0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Tabela 1. </w:t>
      </w:r>
      <w:r w:rsidRPr="00304C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Lista e masave individuale të rehabilitimit </w:t>
      </w:r>
      <w:r w:rsidR="006537F0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energjetikë</w:t>
      </w:r>
      <w:r w:rsidRPr="00304C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(rrethoni numrin </w:t>
      </w:r>
      <w:r w:rsidR="006537F0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rendor</w:t>
      </w:r>
      <w:r w:rsidRPr="00304C0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të masës/masave të zgjedhura)</w:t>
      </w:r>
    </w:p>
    <w:p w:rsidR="006537F0" w:rsidRPr="00304C0E" w:rsidRDefault="006537F0" w:rsidP="00653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tbl>
      <w:tblPr>
        <w:tblStyle w:val="TableGrid"/>
        <w:tblW w:w="9351" w:type="dxa"/>
        <w:tblLook w:val="04A0"/>
      </w:tblPr>
      <w:tblGrid>
        <w:gridCol w:w="1615"/>
        <w:gridCol w:w="7736"/>
      </w:tblGrid>
      <w:tr w:rsidR="00675765" w:rsidRPr="00054D2F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5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Default="00287998" w:rsidP="00287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просторијама,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 ПОРОДИЧНЕ КУЋЕ И СТАНОВЕ</w:t>
            </w:r>
          </w:p>
          <w:p w:rsidR="00E91218" w:rsidRPr="002D1A13" w:rsidRDefault="00E91218" w:rsidP="00E91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Zëvendësimi i dritareve dhe dyerve të jashtme dhe elementëve të tjerë transparentë të mbështjellësit termik me vetitë e duhura termike sipas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hapësirave</w:t>
            </w:r>
            <w:r w:rsidRPr="006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të pa ngrohura,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lang w:val="sr-Latn-CS"/>
              </w:rPr>
              <w:t>SHTËPI FAMILJARE DHE BANESA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Default="00C86291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  <w:p w:rsidR="00E91218" w:rsidRPr="002D1A13" w:rsidRDefault="00E91218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18">
              <w:rPr>
                <w:rFonts w:ascii="Times New Roman" w:hAnsi="Times New Roman" w:cs="Times New Roman"/>
                <w:sz w:val="24"/>
                <w:szCs w:val="24"/>
              </w:rPr>
              <w:t>instalimi dhe prokurimi i materialeve për termoizolimin e mureve, dyshemeve në tokë dhe pjesëve të tjera të mbështjellësit termik drejt hapësirës së pa ngrohur, përveç termoizolimit për tavanin dhe mbulesën nën çati të SHTËPIVE FAMILJARE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5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Default="00C86291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  <w:p w:rsidR="00A27477" w:rsidRPr="00A27477" w:rsidRDefault="00A27477" w:rsidP="006537F0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A2747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instalimi dhe prokurimi i materialeve për termoizolimin e tavanit dhe mbulesës nën çati PËR SHTËPI FAMILJARE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Default="00A27477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945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  <w:p w:rsidR="00A27477" w:rsidRPr="00A27477" w:rsidRDefault="00A27477" w:rsidP="00A274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Zëvendësimi 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ngrohëësit ekzistues të hapësirës me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lëndë djegëse të ngurtë, karburantit të lëngshëm ose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rrymë elektrike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hapësirës (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kaldajë ose stufë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 me një kaldajë me gaz natyror më efikas, për SHTËPI DHE APARTAMENTE FAMILJARE</w:t>
            </w:r>
          </w:p>
        </w:tc>
      </w:tr>
      <w:tr w:rsidR="00C86291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C86291" w:rsidRPr="00C86291" w:rsidRDefault="00C86291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:rsidR="00C86291" w:rsidRDefault="009453DF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постојећеггрејачапростораначврстогориво, течногоривоилиелектричнуенергију (котаоилипећ) ефикаснијимкотломнабиомасу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  <w:p w:rsidR="00A27477" w:rsidRPr="00A27477" w:rsidRDefault="00A27477" w:rsidP="00A2747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Zëvendësimi 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ngrohëësit ekzistues të hapësirës me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lëndë djegëse të ngurtë, karburantit të lëngshëm ose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rrymë elektrike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hapësirës (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kaldajë ose stufë) me një kaldajë më efijase me biomasë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për SHTËPI FAMILJARE</w:t>
            </w:r>
          </w:p>
        </w:tc>
      </w:tr>
      <w:tr w:rsidR="0095725F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95725F" w:rsidRDefault="0095725F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95725F" w:rsidRDefault="00A27477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r w:rsidR="0095725F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  <w:p w:rsidR="00A27477" w:rsidRPr="00A27477" w:rsidRDefault="00A27477" w:rsidP="006537F0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Montimi i pompave te ngrohjes PER SHTEPI DHE APARTAMENTE FAMILJARE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95725F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:rsidR="00675765" w:rsidRDefault="00C86291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  <w:p w:rsidR="00E91218" w:rsidRPr="00E91218" w:rsidRDefault="00E91218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51000">
              <w:rPr>
                <w:rStyle w:val="markedcontent"/>
                <w:rFonts w:ascii="Times New Roman" w:hAnsi="Times New Roman" w:cs="Times New Roman"/>
                <w:lang w:val="sr-Latn-CS"/>
              </w:rPr>
              <w:t xml:space="preserve">ndërrimi i rrjetit ekzistues ose instalimi i një rrjeti të ri tubacionesh,  </w:t>
            </w:r>
            <w:r>
              <w:rPr>
                <w:rStyle w:val="markedcontent"/>
                <w:rFonts w:ascii="Times New Roman" w:hAnsi="Times New Roman" w:cs="Times New Roman"/>
                <w:lang w:val="sr-Latn-CS"/>
              </w:rPr>
              <w:t xml:space="preserve">trupave ngrohës dhe </w:t>
            </w:r>
            <w:r w:rsidRPr="00D51000">
              <w:rPr>
                <w:rStyle w:val="markedcontent"/>
                <w:rFonts w:ascii="Times New Roman" w:hAnsi="Times New Roman" w:cs="Times New Roman"/>
                <w:lang w:val="sr-Latn-CS"/>
              </w:rPr>
              <w:t>aksesorëve shoqërues</w:t>
            </w:r>
            <w:r>
              <w:rPr>
                <w:rStyle w:val="markedcontent"/>
                <w:rFonts w:ascii="Times New Roman" w:hAnsi="Times New Roman" w:cs="Times New Roman"/>
                <w:lang w:val="sr-Latn-CS"/>
              </w:rPr>
              <w:t xml:space="preserve"> për SHTËPI FAMILJARE DHE BANESA</w:t>
            </w:r>
          </w:p>
          <w:p w:rsidR="00E91218" w:rsidRPr="00E91218" w:rsidRDefault="00E91218" w:rsidP="006537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Pr="0066540E" w:rsidDel="00A00A87" w:rsidRDefault="0095725F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Default="00A27477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 у инсталацију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  <w:p w:rsidR="00A27477" w:rsidRPr="00A27477" w:rsidRDefault="00A27477" w:rsidP="00A2747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A2747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Instalimi i kolektorëve diellorë në instalimin për përgatitjen qendrore të ujit të ngrohtë për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>konsum</w:t>
            </w:r>
            <w:r w:rsidRPr="00A2747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PER SHTEPI FAMILJARE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Default="0095725F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537F0" w:rsidRDefault="006537F0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потребе, уградњедвосмерног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предате и примљене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 и израде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и 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којису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дистрибутивнисистем.</w:t>
            </w:r>
          </w:p>
          <w:p w:rsidR="006537F0" w:rsidRDefault="006537F0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0" w:rsidRDefault="006537F0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Instalimi</w:t>
            </w:r>
            <w:r w:rsidRPr="00EE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E22DC">
              <w:rPr>
                <w:rFonts w:ascii="Times New Roman" w:hAnsi="Times New Roman"/>
                <w:sz w:val="24"/>
                <w:szCs w:val="24"/>
              </w:rPr>
              <w:t xml:space="preserve"> paneleve diellore me kapacitet 6 kW fuqi të instaluar, mbështetëse panelesh përcjellëse, inverterë dhe instalime të tjera të nevojshme për prodhimin e energjisë elektrike, instalim i një pajisje matëse dykahëshe për matjen e energjisë elektrike të dorëzuar dhe </w:t>
            </w:r>
            <w:r>
              <w:rPr>
                <w:rFonts w:ascii="Times New Roman" w:hAnsi="Times New Roman"/>
                <w:sz w:val="24"/>
                <w:szCs w:val="24"/>
              </w:rPr>
              <w:t>pranuar</w:t>
            </w:r>
            <w:r w:rsidRPr="00EE2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hartimi i raportit të kezekutuesit të punëve mbi</w:t>
            </w:r>
            <w:r w:rsidRPr="00EE22DC">
              <w:rPr>
                <w:rFonts w:ascii="Times New Roman" w:hAnsi="Times New Roman"/>
                <w:sz w:val="24"/>
                <w:szCs w:val="24"/>
              </w:rPr>
              <w:t xml:space="preserve"> instalimin e paneleve diellore dhe instalimeve përcjellëse për prodhimin e energjisë elektrike, si dhe raportin për instalimin e pikës matëse, e cila është e nevojshme në përputhje me ligjin gjatë kyçjes në sistemin e shpërndarjes.</w:t>
            </w:r>
          </w:p>
          <w:p w:rsidR="006537F0" w:rsidRDefault="006537F0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87" w:rsidRDefault="0095725F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Снага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места, која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 у рачуну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енергију, а  максимално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 и једнако 10,8 kW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  <w:p w:rsidR="006537F0" w:rsidRPr="006537F0" w:rsidRDefault="006537F0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537F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>Fuqia e paneleve diellore nuk mund të jetë më e madhe se fuqia e miratuar e pikës matëse, e cila është e shënuar në faturën për energjinë e konsumuar, dhe maksimumi deri në 10.8 kW për SHTËPITË FAMILJARE.</w:t>
            </w:r>
          </w:p>
        </w:tc>
      </w:tr>
      <w:tr w:rsidR="00186AF8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186AF8" w:rsidRPr="000B3E12" w:rsidRDefault="00186AF8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:rsidR="00186AF8" w:rsidRDefault="00186AF8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65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37F0" w:rsidRPr="00186AF8" w:rsidRDefault="006537F0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Hartimi </w:t>
            </w:r>
            <w:r w:rsidR="00E912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dokumentacionit teknik në pajtim me Shtojcën 2</w:t>
            </w:r>
          </w:p>
        </w:tc>
      </w:tr>
    </w:tbl>
    <w:p w:rsidR="000B3E12" w:rsidRDefault="000B3E12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291" w:rsidRDefault="00C86291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</w:p>
    <w:p w:rsidR="006537F0" w:rsidRDefault="006537F0" w:rsidP="006537F0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6537F0">
        <w:rPr>
          <w:rFonts w:ascii="Times New Roman" w:hAnsi="Times New Roman" w:cs="Times New Roman"/>
          <w:lang w:val="sq-AL"/>
        </w:rPr>
        <w:t>*</w:t>
      </w:r>
      <w:r>
        <w:rPr>
          <w:rFonts w:ascii="Times New Roman" w:hAnsi="Times New Roman" w:cs="Times New Roman"/>
          <w:lang w:val="sq-AL"/>
        </w:rPr>
        <w:t>Për masën</w:t>
      </w:r>
      <w:r w:rsidRPr="006537F0">
        <w:rPr>
          <w:rFonts w:ascii="Times New Roman" w:hAnsi="Times New Roman" w:cs="Times New Roman"/>
          <w:lang w:val="sq-AL"/>
        </w:rPr>
        <w:t xml:space="preserve"> nga pika 7) mund të aplikohet ekskluzivisht së bashku me një nga masat individuale sipas pikës 4) ose 5) ose 6) ose një paketë që përmban masat e përmendura. Masa do të bashkëfinancohet me pjesëmarrje deri në 50% të granteve nëse zbatohet me një nga masat individuale të përmendura.</w:t>
      </w:r>
    </w:p>
    <w:p w:rsidR="006537F0" w:rsidRPr="006537F0" w:rsidRDefault="006537F0" w:rsidP="006537F0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:rsidR="00C51A4F" w:rsidRDefault="00C86291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6537F0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тач. 1)-6) или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 8) и у оквиру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6537F0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 у складу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537F0" w:rsidRPr="007B40A4">
        <w:rPr>
          <w:rFonts w:ascii="Times New Roman" w:eastAsia="Times New Roman" w:hAnsi="Times New Roman" w:cs="Times New Roman"/>
          <w:sz w:val="20"/>
          <w:szCs w:val="20"/>
        </w:rPr>
        <w:t>Н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еопходна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обрава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звођење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радова.</w:t>
      </w:r>
      <w:r w:rsidR="00653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</w:p>
    <w:p w:rsidR="006537F0" w:rsidRPr="006537F0" w:rsidRDefault="006537F0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6537F0">
        <w:rPr>
          <w:rFonts w:ascii="Times New Roman" w:eastAsia="Times New Roman" w:hAnsi="Times New Roman" w:cs="Times New Roman"/>
          <w:sz w:val="20"/>
          <w:szCs w:val="20"/>
          <w:lang w:val="sq-AL"/>
        </w:rPr>
        <w:t>*</w:t>
      </w:r>
      <w:r w:rsidR="00287998">
        <w:rPr>
          <w:rFonts w:ascii="Times New Roman" w:eastAsia="Times New Roman" w:hAnsi="Times New Roman" w:cs="Times New Roman"/>
          <w:sz w:val="20"/>
          <w:szCs w:val="20"/>
          <w:lang w:val="sq-AL"/>
        </w:rPr>
        <w:t>*</w:t>
      </w:r>
      <w:r w:rsidR="00696234">
        <w:rPr>
          <w:rFonts w:ascii="Times New Roman" w:eastAsia="Times New Roman" w:hAnsi="Times New Roman" w:cs="Times New Roman"/>
          <w:sz w:val="20"/>
          <w:szCs w:val="20"/>
          <w:lang w:val="sq-AL"/>
        </w:rPr>
        <w:t>Për masën</w:t>
      </w:r>
      <w:r w:rsidR="00696234"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nga pika 10) mund të aplikohet vetëm së bashku me nj</w:t>
      </w:r>
      <w:r w:rsidR="00696234">
        <w:rPr>
          <w:rFonts w:ascii="Times New Roman" w:eastAsia="Times New Roman" w:hAnsi="Times New Roman" w:cs="Times New Roman"/>
          <w:sz w:val="20"/>
          <w:szCs w:val="20"/>
          <w:lang w:val="sq-AL"/>
        </w:rPr>
        <w:t>ë nga masat individuale në pikat</w:t>
      </w:r>
      <w:r w:rsidR="00696234"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1)-6) ose pika 8) dhe brenda paketës së masave, me kusht që të jetë në përputhje me </w:t>
      </w:r>
      <w:r w:rsid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Shtojcën </w:t>
      </w:r>
      <w:r w:rsidR="00696234"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2. </w:t>
      </w:r>
      <w:r w:rsidR="00696234">
        <w:rPr>
          <w:rFonts w:ascii="Times New Roman" w:eastAsia="Times New Roman" w:hAnsi="Times New Roman" w:cs="Times New Roman"/>
          <w:sz w:val="20"/>
          <w:szCs w:val="20"/>
          <w:lang w:val="sq-AL"/>
        </w:rPr>
        <w:t>Është i domosdoshëm hartimi i</w:t>
      </w:r>
      <w:r w:rsidR="00696234"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dokumentacionit teknik për nxjerrjen e aktit për </w:t>
      </w:r>
      <w:r w:rsidR="00696234">
        <w:rPr>
          <w:rFonts w:ascii="Times New Roman" w:eastAsia="Times New Roman" w:hAnsi="Times New Roman" w:cs="Times New Roman"/>
          <w:sz w:val="20"/>
          <w:szCs w:val="20"/>
          <w:lang w:val="sq-AL"/>
        </w:rPr>
        <w:t>ekzekutimin</w:t>
      </w:r>
      <w:r w:rsidR="00696234"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e punimeve. Masa do të bashkëfinancohet me pjesëmarrje deri në 50% të granteve nëse zbatohet me një nga masat individuale të përmendura.</w:t>
      </w:r>
    </w:p>
    <w:p w:rsidR="00EE2ACD" w:rsidRDefault="00EE2ACD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6234" w:rsidRDefault="00496203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696234" w:rsidRPr="00696234" w:rsidRDefault="00696234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</w:t>
      </w:r>
      <w:r w:rsidRPr="0069623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PAKETA E MASAVE PËR TË CILAT APLIKONI</w:t>
      </w:r>
    </w:p>
    <w:p w:rsidR="00696234" w:rsidRDefault="00696234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496203" w:rsidRDefault="006463E6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96234" w:rsidRDefault="00696234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96234">
        <w:rPr>
          <w:rFonts w:ascii="Times New Roman" w:eastAsia="Times New Roman" w:hAnsi="Times New Roman" w:cs="Times New Roman"/>
          <w:sz w:val="24"/>
          <w:szCs w:val="24"/>
          <w:lang w:val="sq-AL"/>
        </w:rPr>
        <w:t>Përdoruesit fundorë që jetojnë në shtëpi familjare kanë të drejtë të aplikojnë për një nga paketat e masave nga tabela 2.</w:t>
      </w:r>
    </w:p>
    <w:p w:rsidR="00696234" w:rsidRPr="00696234" w:rsidRDefault="00696234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96203" w:rsidRDefault="00496203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:rsidR="00696234" w:rsidRDefault="00696234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96234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Me një nga masat në pikë 4) ose 5) ose 6) i cili rrumbullakoset, përdoruesit përfundimtarë kanë të drejtë të rrumbullakosin edhe masën 7).</w:t>
      </w:r>
    </w:p>
    <w:p w:rsidR="00696234" w:rsidRPr="00696234" w:rsidRDefault="00696234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96203" w:rsidRDefault="00496203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96234" w:rsidRPr="00696234" w:rsidRDefault="00696234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Me një nga masat në pikat</w:t>
      </w:r>
      <w:r w:rsidRPr="006962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1)-6) ose 8) e cila është 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rrethuar</w:t>
      </w:r>
      <w:r w:rsidRPr="006962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përdoruesit përfundimtarë kanë të drejtë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rrethojnë</w:t>
      </w:r>
      <w:r w:rsidRPr="006962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edhe masën 10) nëse parashikohet në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Shtojcën</w:t>
      </w:r>
      <w:r w:rsidRPr="006962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2.</w:t>
      </w:r>
    </w:p>
    <w:p w:rsidR="00696234" w:rsidRDefault="00696234" w:rsidP="0065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FA0DD0" w:rsidRDefault="00FA0DD0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p w:rsidR="00696234" w:rsidRDefault="00696234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69623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Tabela 2. </w:t>
      </w:r>
      <w:r w:rsidRPr="0069623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Lista e paketave me masat shoqëruese</w:t>
      </w:r>
      <w:r w:rsidRPr="0069623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(rrethoni numrin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rendor</w:t>
      </w:r>
      <w:r w:rsidRPr="0069623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të paketës dhe numrat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rendor</w:t>
      </w:r>
      <w:r w:rsidRPr="0069623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të masave që aplikoni brenda paketës së përzgjedhur) - aplikim vetëm për shtëpitë familjare</w:t>
      </w:r>
    </w:p>
    <w:p w:rsidR="00696234" w:rsidRPr="00696234" w:rsidRDefault="00696234" w:rsidP="0069623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10790" w:type="dxa"/>
        <w:tblLook w:val="04A0"/>
      </w:tblPr>
      <w:tblGrid>
        <w:gridCol w:w="715"/>
        <w:gridCol w:w="810"/>
        <w:gridCol w:w="9265"/>
      </w:tblGrid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65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:rsidR="004C602B" w:rsidRPr="004C602B" w:rsidRDefault="004C602B" w:rsidP="006537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451C23" w:rsidRPr="00696234" w:rsidRDefault="004C602B" w:rsidP="00696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  <w:r w:rsidR="0069623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1232D4"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 w:rsidR="0069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  <w:r w:rsidR="0069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br/>
            </w:r>
            <w:r w:rsidR="00696234" w:rsidRPr="00696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PAKETA BAZË E MASAVE </w:t>
            </w:r>
            <w:r w:rsidR="00696234" w:rsidRPr="0069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(Pjesëmarrja maksimale e granteve deri në 55%)</w:t>
            </w:r>
            <w:r w:rsidR="0069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P</w:t>
            </w:r>
            <w:r w:rsidR="00696234" w:rsidRPr="0069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ërfshin zbatimin e të paktën dy masave nga pika 1), 2) dhe 3)</w:t>
            </w:r>
            <w:r w:rsidR="0069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696234" w:rsidRPr="0069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me zbatimin e pikës 10) nëse parashikohet në aneksin 2</w:t>
            </w:r>
          </w:p>
        </w:tc>
      </w:tr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96203" w:rsidRDefault="004C602B" w:rsidP="0065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Default="00696234" w:rsidP="006537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просторијама, </w:t>
            </w:r>
          </w:p>
          <w:p w:rsidR="00696234" w:rsidRPr="00C86291" w:rsidRDefault="00696234" w:rsidP="00696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Zëvendësimi i dritareve dhe dyerve të jashtme dhe elementëve të tjerë transparentë të mbështjellësit termik me vetitë e duhura termike sipas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haopësirave</w:t>
            </w:r>
            <w:r w:rsidRPr="006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të pa ngrohura,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Default="004C602B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  <w:p w:rsidR="00696234" w:rsidRPr="002D1A13" w:rsidRDefault="00696234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34">
              <w:rPr>
                <w:rFonts w:ascii="Times New Roman" w:hAnsi="Times New Roman" w:cs="Times New Roman"/>
                <w:sz w:val="24"/>
                <w:szCs w:val="24"/>
              </w:rPr>
              <w:t>instalimi dhe prokurimi i materialeve për izolimin termik të mureve, dyshemeve në tokë dhe pjesëve të tjera të mbështjellësit termik drejt hapësirës së pa ngrohur, përveç termoizolimit për tavanin dhe nën mbulesën e çatisë.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65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6537F0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Default="004C602B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  <w:p w:rsidR="00696234" w:rsidRPr="00696234" w:rsidRDefault="00696234" w:rsidP="006537F0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69623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instalimi dhe prokurimi i materialeve për termoizolimin e tavanit dhe nën mbulesën e çatisë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C602B" w:rsidDel="00186AF8" w:rsidRDefault="004C602B" w:rsidP="0065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B6461F" w:rsidRDefault="004C602B" w:rsidP="006537F0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Default="004C602B" w:rsidP="006537F0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69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6234" w:rsidRPr="00696234" w:rsidRDefault="00696234" w:rsidP="006962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96234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Përgatitja e dokumentacionit teknik në përputhje me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>Shtojcën</w:t>
            </w:r>
            <w:r w:rsidRPr="00696234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2</w:t>
            </w:r>
          </w:p>
        </w:tc>
      </w:tr>
      <w:tr w:rsidR="00003F7F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003F7F" w:rsidRPr="0066540E" w:rsidRDefault="00003F7F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:rsidR="00003F7F" w:rsidRPr="007B40A4" w:rsidRDefault="00003F7F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6E0396" w:rsidRDefault="00003F7F" w:rsidP="006537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:rsidR="00003F7F" w:rsidRDefault="00003F7F" w:rsidP="00A274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  <w:r w:rsid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  <w:r w:rsid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  <w:p w:rsidR="00A27477" w:rsidRPr="00A27477" w:rsidRDefault="00A27477" w:rsidP="00A274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PAKETA STANDARDE E MASAVE (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Pjesëmarrja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maksimale e grantit deri në 60%)</w:t>
            </w:r>
          </w:p>
          <w:p w:rsidR="00A27477" w:rsidRPr="00A27477" w:rsidRDefault="00A27477" w:rsidP="00A274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Zbatimi i masave të paketës bazë dhe 4) ose 5) ose 6) dhe/ose 7) me zbatimin e pikës 10) nëse parashikohet në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Shtojcën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2.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Default="00A27477" w:rsidP="006537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7477" w:rsidRPr="007B40A4" w:rsidRDefault="00A27477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Zëvendësimi i dritareve dhe dyerve të jashtme dhe elementëve të tjerë transparentë të mbështjellësit termik me vetitë e duhura termike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drejtë</w:t>
            </w:r>
            <w:r w:rsidRPr="006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hapësirave</w:t>
            </w:r>
            <w:r w:rsidRPr="006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të pa ngrohura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A27477" w:rsidRDefault="00A27477" w:rsidP="00A2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</w:p>
          <w:p w:rsidR="004C602B" w:rsidRPr="007B40A4" w:rsidRDefault="00A27477" w:rsidP="00A2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18">
              <w:rPr>
                <w:rFonts w:ascii="Times New Roman" w:hAnsi="Times New Roman" w:cs="Times New Roman"/>
                <w:sz w:val="24"/>
                <w:szCs w:val="24"/>
              </w:rPr>
              <w:t xml:space="preserve">instalimi dhe prokurimi i materialeve për termoizolimin e mureve, dyshemeve në tokë dhe pjesëve të tjera të mbështjellësit termik drejt hapësirës së pa ngrohur, përveç termoizolimit për tavanin dhe mbulesën nën çati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A27477" w:rsidRDefault="00A27477" w:rsidP="00A2747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ног покривача </w:t>
            </w:r>
          </w:p>
          <w:p w:rsidR="004C602B" w:rsidRPr="007B40A4" w:rsidRDefault="00A27477" w:rsidP="00A2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7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instalimi dhe prokurimi i materialeve për termoizolimin e tavanit dhe mbulesës nën çati PËR </w:t>
            </w:r>
          </w:p>
        </w:tc>
      </w:tr>
      <w:tr w:rsidR="001232D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1232D4" w:rsidRDefault="001232D4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1232D4" w:rsidRPr="007B40A4" w:rsidRDefault="001232D4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A27477" w:rsidRDefault="00A27477" w:rsidP="00A2747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1232D4" w:rsidRPr="007B40A4" w:rsidRDefault="00A27477" w:rsidP="00A2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Zëvendësimi 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ngrohëësit ekzistues të hapësirës me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lëndë djegëse të ngurtë, karburantit të lëngshëm ose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rrymë elektrike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hapësirës (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kaldajë ose stufë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 me një kaldajë me gaz natyror më efikas,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7B40A4" w:rsidRDefault="00ED03A4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470C8A" w:rsidRDefault="00470C8A" w:rsidP="00470C8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биомасу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ED03A4" w:rsidRPr="007B40A4" w:rsidRDefault="00470C8A" w:rsidP="0047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Zëvendësimi 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ngrohëësit ekzistues të hapësirës me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lëndë djegëse të ngurtë, karburantit të lëngshëm ose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rrymë elektrike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hapësirës (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kaldajë ose stufë) me një kaldajë më efikase me biomasë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470C8A" w:rsidRDefault="00470C8A" w:rsidP="00470C8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4C602B" w:rsidRPr="007B40A4" w:rsidRDefault="00470C8A" w:rsidP="0047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Montimi i pompave te ngrohjes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:rsidR="004C602B" w:rsidRPr="007B40A4" w:rsidRDefault="00470C8A" w:rsidP="0028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  <w:r w:rsidRPr="00D51000">
              <w:rPr>
                <w:rStyle w:val="markedcontent"/>
                <w:rFonts w:ascii="Times New Roman" w:hAnsi="Times New Roman" w:cs="Times New Roman"/>
                <w:lang w:val="sr-Latn-CS"/>
              </w:rPr>
              <w:t xml:space="preserve">ndërrimi i rrjetit ekzistues ose instalimi i një rrjeti të ri tubacionesh,  </w:t>
            </w:r>
            <w:r>
              <w:rPr>
                <w:rStyle w:val="markedcontent"/>
                <w:rFonts w:ascii="Times New Roman" w:hAnsi="Times New Roman" w:cs="Times New Roman"/>
                <w:lang w:val="sr-Latn-CS"/>
              </w:rPr>
              <w:t xml:space="preserve">trupave ngrohës dhe </w:t>
            </w:r>
            <w:r w:rsidRPr="00D51000">
              <w:rPr>
                <w:rStyle w:val="markedcontent"/>
                <w:rFonts w:ascii="Times New Roman" w:hAnsi="Times New Roman" w:cs="Times New Roman"/>
                <w:lang w:val="sr-Latn-CS"/>
              </w:rPr>
              <w:t>aksesorëve shoqërues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470C8A" w:rsidRDefault="00470C8A" w:rsidP="0047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602B" w:rsidRPr="007B40A4" w:rsidRDefault="00470C8A" w:rsidP="0047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Hartimi I dokumentacionit teknik në pajtim me Shtojcën 2</w:t>
            </w:r>
          </w:p>
        </w:tc>
      </w:tr>
      <w:tr w:rsidR="00451C23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51C23" w:rsidRDefault="00451C23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:rsidR="00451C23" w:rsidRDefault="00451C23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287998" w:rsidRDefault="00003F7F" w:rsidP="002879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  <w:r w:rsidR="0028799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451C23" w:rsidRDefault="00EA5A2C" w:rsidP="002879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2879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  <w:r w:rsidR="002879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  <w:p w:rsidR="00287998" w:rsidRPr="00287998" w:rsidRDefault="00287998" w:rsidP="0028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b/>
                <w:sz w:val="24"/>
                <w:szCs w:val="24"/>
              </w:rPr>
              <w:t>PAKETA E AVANCUARA E</w:t>
            </w:r>
            <w:r w:rsidRPr="0028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98">
              <w:rPr>
                <w:rFonts w:ascii="Times New Roman" w:hAnsi="Times New Roman" w:cs="Times New Roman"/>
                <w:b/>
                <w:sz w:val="24"/>
                <w:szCs w:val="24"/>
              </w:rPr>
              <w:t>MASAVE</w:t>
            </w:r>
            <w:r w:rsidRPr="00287998">
              <w:rPr>
                <w:rFonts w:ascii="Times New Roman" w:hAnsi="Times New Roman" w:cs="Times New Roman"/>
                <w:sz w:val="24"/>
                <w:szCs w:val="24"/>
              </w:rPr>
              <w:t xml:space="preserve"> (Përqindja maksimale e granteve deri në 65%)</w:t>
            </w:r>
          </w:p>
          <w:p w:rsidR="00287998" w:rsidRPr="007B40A4" w:rsidRDefault="00287998" w:rsidP="0028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98">
              <w:rPr>
                <w:rFonts w:ascii="Times New Roman" w:hAnsi="Times New Roman" w:cs="Times New Roman"/>
                <w:sz w:val="24"/>
                <w:szCs w:val="24"/>
              </w:rPr>
              <w:t>Zbatimi i masave të paketës bazë dhe standarde dhe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 pkave</w:t>
            </w:r>
            <w:r w:rsidRPr="00287998">
              <w:rPr>
                <w:rFonts w:ascii="Times New Roman" w:hAnsi="Times New Roman" w:cs="Times New Roman"/>
                <w:sz w:val="24"/>
                <w:szCs w:val="24"/>
              </w:rPr>
              <w:t xml:space="preserve"> 8) dhe/ose 9) me zbatimin e pikës 10) nëse parashikohet në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Shtojcën</w:t>
            </w:r>
            <w:r w:rsidRPr="0028799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6537F0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287998" w:rsidRDefault="00287998" w:rsidP="00287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0C8A" w:rsidRPr="00470C8A" w:rsidRDefault="00287998" w:rsidP="002879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Zëvendësimi i dritareve dhe dyerve të jashtme dhe elementëve të tjerë transparentë të mbështjellësit termik me vetitë e duhura termike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drejtë</w:t>
            </w:r>
            <w:r w:rsidRPr="006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hapësirave</w:t>
            </w:r>
            <w:r w:rsidRPr="0069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të pa ngrohura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6537F0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70C8A" w:rsidRDefault="00470C8A" w:rsidP="0047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</w:p>
          <w:p w:rsidR="005C12AC" w:rsidRPr="00C86291" w:rsidRDefault="00470C8A" w:rsidP="00470C8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91218">
              <w:rPr>
                <w:rFonts w:ascii="Times New Roman" w:hAnsi="Times New Roman" w:cs="Times New Roman"/>
                <w:sz w:val="24"/>
                <w:szCs w:val="24"/>
              </w:rPr>
              <w:t xml:space="preserve">instalimi dhe prokurimi i materialeve për termoizolimin e mureve, dyshemeve në tokë dhe pjesëve të tjera të mbështjellësit termik drejt hapësirës së pa ngrohur, përveç termoizolimit për tavanin dhe mbulesën nën çati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6537F0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287998" w:rsidRDefault="00287998" w:rsidP="002879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ног покривача </w:t>
            </w:r>
          </w:p>
          <w:p w:rsidR="005C12AC" w:rsidRPr="00C86291" w:rsidRDefault="00287998" w:rsidP="002879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747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instalimi dhe prokurimi i materialeve për termoizolimin e tavanit dhe mbulesës nën çati 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6537F0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470C8A" w:rsidRDefault="00470C8A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470C8A" w:rsidRPr="00470C8A" w:rsidRDefault="00470C8A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Zëvendësimi 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ngrohëësit ekzistues të hapësirës me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lëndë djegëse të ngurtë, karburantit të lëngshëm ose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rrymë elektrike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hapësirës (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kaldajë ose stufë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 me një kaldajë me gaz natyror më efikas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6537F0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470C8A" w:rsidRDefault="00470C8A" w:rsidP="00470C8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биомасу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470C8A" w:rsidRPr="00470C8A" w:rsidRDefault="00470C8A" w:rsidP="00470C8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Zëvendësimi 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ngrohëësit ekzistues të hapësirës me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lëndë djegëse të ngurtë, karburantit të lëngshëm ose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rrymë elektrike</w:t>
            </w: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hapësirës (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kaldajë ose stufë) me një kaldajë më efikase me biomasë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6537F0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287998" w:rsidRDefault="00287998" w:rsidP="002879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C12AC" w:rsidRPr="00C86291" w:rsidRDefault="00287998" w:rsidP="002879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74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Montimi i pompave te ngrohjes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5C12AC" w:rsidP="006537F0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:rsidR="004C602B" w:rsidRDefault="004C602B" w:rsidP="006537F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  <w:p w:rsidR="00287998" w:rsidRPr="00287998" w:rsidRDefault="00287998" w:rsidP="006537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D51000">
              <w:rPr>
                <w:rStyle w:val="markedcontent"/>
                <w:rFonts w:ascii="Times New Roman" w:hAnsi="Times New Roman" w:cs="Times New Roman"/>
                <w:lang w:val="sr-Latn-CS"/>
              </w:rPr>
              <w:t xml:space="preserve">ndërrimi i rrjetit ekzistues ose instalimi i një rrjeti të ri tubacionesh,  </w:t>
            </w:r>
            <w:r>
              <w:rPr>
                <w:rStyle w:val="markedcontent"/>
                <w:rFonts w:ascii="Times New Roman" w:hAnsi="Times New Roman" w:cs="Times New Roman"/>
                <w:lang w:val="sr-Latn-CS"/>
              </w:rPr>
              <w:t xml:space="preserve">trupave ngrohës dhe </w:t>
            </w:r>
            <w:r w:rsidRPr="00D51000">
              <w:rPr>
                <w:rStyle w:val="markedcontent"/>
                <w:rFonts w:ascii="Times New Roman" w:hAnsi="Times New Roman" w:cs="Times New Roman"/>
                <w:lang w:val="sr-Latn-CS"/>
              </w:rPr>
              <w:t>aksesorëve shoqërues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Del="00A00A87" w:rsidRDefault="004C602B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:rsidR="00287998" w:rsidRDefault="00287998" w:rsidP="002879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 у инсталацију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998" w:rsidRPr="002D1A13" w:rsidRDefault="00287998" w:rsidP="002879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747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Instalimi i kolektorëve diellorë në instalimin për përgatitjen qendrore të ujit të ngrohtë për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>konsum</w:t>
            </w:r>
            <w:r w:rsidRPr="00A2747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65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:rsidR="00E91218" w:rsidRDefault="00E91218" w:rsidP="00E9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потребе, уградњедвосмерног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 и примљене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 и израде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и 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којису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дистрибутивнисистем.</w:t>
            </w:r>
          </w:p>
          <w:p w:rsidR="00E91218" w:rsidRDefault="00E91218" w:rsidP="00E9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18" w:rsidRDefault="00E91218" w:rsidP="00E9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Instalimi</w:t>
            </w:r>
            <w:r w:rsidRPr="00EE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E22DC">
              <w:rPr>
                <w:rFonts w:ascii="Times New Roman" w:hAnsi="Times New Roman"/>
                <w:sz w:val="24"/>
                <w:szCs w:val="24"/>
              </w:rPr>
              <w:t xml:space="preserve"> paneleve diellore me kapacitet 6 kW fuqi të instaluar, mbështetëse panelesh përcjellëse, inverterë dhe instalime të tjera të nevojshme për prodhimin e energjisë elektrike, instalim i një pajisje matëse dykahëshe për matjen e energjisë elektrike të dorëzuar dhe </w:t>
            </w:r>
            <w:r>
              <w:rPr>
                <w:rFonts w:ascii="Times New Roman" w:hAnsi="Times New Roman"/>
                <w:sz w:val="24"/>
                <w:szCs w:val="24"/>
              </w:rPr>
              <w:t>pranuar</w:t>
            </w:r>
            <w:r w:rsidRPr="00EE2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hartimi i raportit të kezekutuesit të punëve mbi</w:t>
            </w:r>
            <w:r w:rsidRPr="00EE22DC">
              <w:rPr>
                <w:rFonts w:ascii="Times New Roman" w:hAnsi="Times New Roman"/>
                <w:sz w:val="24"/>
                <w:szCs w:val="24"/>
              </w:rPr>
              <w:t xml:space="preserve"> instalimin e paneleve diellore dhe instalimeve përcjellëse për prodhimin e energjisë elektrike, si dhe raportin për instalimin e pikës matëse, e cila është e nevojshme në përputhje me ligjin gjatë kyçjes në sistemin e shpërndarjes.</w:t>
            </w:r>
          </w:p>
          <w:p w:rsidR="00E91218" w:rsidRDefault="00E91218" w:rsidP="00E9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8A" w:rsidRDefault="00E91218" w:rsidP="00E9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Снага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места, која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 у рачуну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енергију, а  максимално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 и једнако 10,8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02B" w:rsidRPr="002D1A13" w:rsidRDefault="00E91218" w:rsidP="00E912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537F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Fuqia e paneleve diellore nuk mund të jetë më e madhe se fuqia e miratuar e pikës matëse, e cila është e shënuar në faturën për energjinë e konsumuar, dhe maksimumi deri në 10.8 kW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65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5C12AC" w:rsidRDefault="005C12AC" w:rsidP="006537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470C8A" w:rsidRDefault="00470C8A" w:rsidP="0047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2AC" w:rsidRPr="007B40A4" w:rsidRDefault="00470C8A" w:rsidP="0047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Hartimi I dokumentacionit teknik në pajtim me Shtojcën 2</w:t>
            </w:r>
          </w:p>
        </w:tc>
      </w:tr>
    </w:tbl>
    <w:p w:rsidR="00496203" w:rsidRDefault="00496203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DD0" w:rsidRDefault="00FA0DD0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</w:p>
    <w:p w:rsidR="00287998" w:rsidRDefault="00287998" w:rsidP="00287998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6537F0">
        <w:rPr>
          <w:rFonts w:ascii="Times New Roman" w:hAnsi="Times New Roman" w:cs="Times New Roman"/>
          <w:lang w:val="sq-AL"/>
        </w:rPr>
        <w:t>*</w:t>
      </w:r>
      <w:r>
        <w:rPr>
          <w:rFonts w:ascii="Times New Roman" w:hAnsi="Times New Roman" w:cs="Times New Roman"/>
          <w:lang w:val="sq-AL"/>
        </w:rPr>
        <w:t>Për masën</w:t>
      </w:r>
      <w:r w:rsidRPr="006537F0">
        <w:rPr>
          <w:rFonts w:ascii="Times New Roman" w:hAnsi="Times New Roman" w:cs="Times New Roman"/>
          <w:lang w:val="sq-AL"/>
        </w:rPr>
        <w:t xml:space="preserve"> nga pika 7) mund të aplikohet ekskluzivisht së bashku me një nga masat individuale sipas pikës 4) ose 5) ose 6) ose një paketë që përmban masat e përmendura. Masa do të bashkëfinancohet me pjesëmarrje deri në 50% të granteve nëse zbatohet me një nga masat individuale të përmendura</w:t>
      </w:r>
      <w:r>
        <w:rPr>
          <w:rFonts w:ascii="Times New Roman" w:hAnsi="Times New Roman" w:cs="Times New Roman"/>
          <w:lang w:val="sq-AL"/>
        </w:rPr>
        <w:t xml:space="preserve"> ose me pjesëmarrjen përkatëse në rast të zbatimit të paketës themelore, standarde dhe të avancuar</w:t>
      </w:r>
      <w:r w:rsidRPr="006537F0">
        <w:rPr>
          <w:rFonts w:ascii="Times New Roman" w:hAnsi="Times New Roman" w:cs="Times New Roman"/>
          <w:lang w:val="sq-AL"/>
        </w:rPr>
        <w:t>.</w:t>
      </w:r>
    </w:p>
    <w:p w:rsidR="00287998" w:rsidRPr="00287998" w:rsidRDefault="00287998" w:rsidP="006537F0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:rsidR="00FA0DD0" w:rsidRDefault="00FA0DD0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287998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тач. 1)-6) или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тачком 8) и у оквирупакетамера,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је у складу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r w:rsidR="00ED03A4">
        <w:rPr>
          <w:rFonts w:ascii="Times New Roman" w:eastAsia="Times New Roman" w:hAnsi="Times New Roman" w:cs="Times New Roman"/>
          <w:sz w:val="20"/>
          <w:szCs w:val="20"/>
        </w:rPr>
        <w:t>2</w:t>
      </w:r>
      <w:r w:rsidR="00287998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радии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здавања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r w:rsidR="0028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радова.</w:t>
      </w:r>
      <w:r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</w:p>
    <w:p w:rsidR="00287998" w:rsidRPr="006537F0" w:rsidRDefault="00287998" w:rsidP="0028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6537F0">
        <w:rPr>
          <w:rFonts w:ascii="Times New Roman" w:eastAsia="Times New Roman" w:hAnsi="Times New Roman" w:cs="Times New Roman"/>
          <w:sz w:val="20"/>
          <w:szCs w:val="20"/>
          <w:lang w:val="sq-A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val="sq-AL"/>
        </w:rPr>
        <w:t>*Për masën</w:t>
      </w:r>
      <w:r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nga pika 10) mund të aplikohet vetëm së bashku me nj</w:t>
      </w:r>
      <w:r>
        <w:rPr>
          <w:rFonts w:ascii="Times New Roman" w:eastAsia="Times New Roman" w:hAnsi="Times New Roman" w:cs="Times New Roman"/>
          <w:sz w:val="20"/>
          <w:szCs w:val="20"/>
          <w:lang w:val="sq-AL"/>
        </w:rPr>
        <w:t>ë nga masat individuale në pikat</w:t>
      </w:r>
      <w:r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1)-6) ose pika 8) dhe brenda paketës së masave, me kusht që të jetë në përputhje me </w:t>
      </w:r>
      <w:r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Shtojcën </w:t>
      </w:r>
      <w:r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  <w:lang w:val="sq-AL"/>
        </w:rPr>
        <w:t>është i domosdoshëm hartimi i</w:t>
      </w:r>
      <w:r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dokumentacionit teknik për nxjerrjen e aktit për </w:t>
      </w:r>
      <w:r>
        <w:rPr>
          <w:rFonts w:ascii="Times New Roman" w:eastAsia="Times New Roman" w:hAnsi="Times New Roman" w:cs="Times New Roman"/>
          <w:sz w:val="20"/>
          <w:szCs w:val="20"/>
          <w:lang w:val="sq-AL"/>
        </w:rPr>
        <w:t>ekzekutimin</w:t>
      </w:r>
      <w:r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 e punimeve. Masa do të bashkëfinancohet me pjesëmarrje deri në 50% të granteve nëse zbatohet me një nga masat individuale të përmendura</w:t>
      </w:r>
      <w:r w:rsidR="00603B6E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, </w:t>
      </w:r>
      <w:r w:rsidR="00603B6E">
        <w:rPr>
          <w:rFonts w:ascii="Times New Roman" w:hAnsi="Times New Roman" w:cs="Times New Roman"/>
          <w:lang w:val="sq-AL"/>
        </w:rPr>
        <w:t>ose me pjesëmarrjen përkatëse në rast të zbatimit të paketës themelore, standarde dhe të avancuar</w:t>
      </w:r>
      <w:r w:rsidRPr="00696234">
        <w:rPr>
          <w:rFonts w:ascii="Times New Roman" w:eastAsia="Times New Roman" w:hAnsi="Times New Roman" w:cs="Times New Roman"/>
          <w:sz w:val="20"/>
          <w:szCs w:val="20"/>
          <w:lang w:val="sq-AL"/>
        </w:rPr>
        <w:t>.</w:t>
      </w:r>
    </w:p>
    <w:p w:rsidR="00287998" w:rsidRPr="00287998" w:rsidRDefault="00287998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C51A4F" w:rsidRDefault="00C51A4F" w:rsidP="00653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Default="00E125BD" w:rsidP="00653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p w:rsidR="00BE15DE" w:rsidRPr="00BE15DE" w:rsidRDefault="00BE15DE" w:rsidP="00653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GJENDJA AKTUALE E SHËTPISË/BANESËS TUAJ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Default="00556FCB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Површина</w:t>
            </w:r>
            <w:r w:rsidR="00A0238E">
              <w:rPr>
                <w:rFonts w:ascii="Times New Roman" w:hAnsi="Times New Roman" w:cs="Times New Roman"/>
                <w:sz w:val="24"/>
                <w:szCs w:val="24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квадратнимметрима</w:t>
            </w:r>
          </w:p>
          <w:p w:rsidR="00BE15DE" w:rsidRPr="0066540E" w:rsidRDefault="00BE15DE" w:rsidP="0065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Sipërfaqja e shtëpisë/banesës familjare</w:t>
            </w:r>
          </w:p>
        </w:tc>
        <w:tc>
          <w:tcPr>
            <w:tcW w:w="2021" w:type="pct"/>
          </w:tcPr>
          <w:p w:rsidR="008A0D35" w:rsidRDefault="008A0D35" w:rsidP="006537F0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6537F0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65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BE15DE" w:rsidP="0065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Numri I shfrytëzuesve që banojnë në objekt</w:t>
            </w:r>
          </w:p>
        </w:tc>
        <w:tc>
          <w:tcPr>
            <w:tcW w:w="2021" w:type="pct"/>
          </w:tcPr>
          <w:p w:rsidR="008A0D35" w:rsidRDefault="008A0D35" w:rsidP="006537F0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6537F0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66540E" w:rsidTr="00304C0E">
        <w:trPr>
          <w:trHeight w:val="389"/>
        </w:trPr>
        <w:tc>
          <w:tcPr>
            <w:tcW w:w="9356" w:type="dxa"/>
            <w:vAlign w:val="center"/>
          </w:tcPr>
          <w:p w:rsidR="00771A21" w:rsidRDefault="00771A21" w:rsidP="006537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BE15DE" w:rsidRPr="00B84152" w:rsidRDefault="00BE15DE" w:rsidP="00BE15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Gjendja ekzistuese për sa i përket termoizolimit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BE1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ë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objektit </w:t>
            </w:r>
            <w:r w:rsidRPr="00BE1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(rrethoni numrin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rendor</w:t>
            </w:r>
            <w:r w:rsidRPr="00BE1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BE15DE" w:rsidRPr="0066540E" w:rsidTr="00304C0E">
        <w:trPr>
          <w:trHeight w:val="338"/>
        </w:trPr>
        <w:tc>
          <w:tcPr>
            <w:tcW w:w="9356" w:type="dxa"/>
          </w:tcPr>
          <w:p w:rsidR="00BE15DE" w:rsidRPr="00BE15DE" w:rsidRDefault="00BE15DE" w:rsidP="00BE15D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BE15D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  <w:p w:rsidR="00BE15DE" w:rsidRPr="00BE15DE" w:rsidRDefault="00BE15DE" w:rsidP="00BE15DE">
            <w:pPr>
              <w:pStyle w:val="ListParagraph"/>
              <w:ind w:left="727"/>
              <w:rPr>
                <w:rFonts w:ascii="Times New Roman" w:hAnsi="Times New Roman" w:cs="Times New Roman"/>
                <w:sz w:val="24"/>
                <w:szCs w:val="24"/>
              </w:rPr>
            </w:pPr>
            <w:r w:rsidRPr="00BE15DE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dhe çatia pa termoizolim</w:t>
            </w:r>
          </w:p>
        </w:tc>
      </w:tr>
      <w:tr w:rsidR="00BE15DE" w:rsidRPr="0066540E" w:rsidTr="00304C0E">
        <w:trPr>
          <w:trHeight w:val="346"/>
        </w:trPr>
        <w:tc>
          <w:tcPr>
            <w:tcW w:w="9356" w:type="dxa"/>
            <w:vAlign w:val="bottom"/>
          </w:tcPr>
          <w:p w:rsidR="00BE15DE" w:rsidRPr="00BE15DE" w:rsidRDefault="00BE15DE" w:rsidP="00BE15D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BE15D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  <w:p w:rsidR="00BE15DE" w:rsidRPr="00BE15DE" w:rsidRDefault="00BE15DE" w:rsidP="00BE15DE">
            <w:pPr>
              <w:pStyle w:val="ListParagraph"/>
              <w:ind w:left="727"/>
              <w:rPr>
                <w:rFonts w:ascii="Times New Roman" w:hAnsi="Times New Roman" w:cs="Times New Roman"/>
                <w:sz w:val="24"/>
                <w:szCs w:val="24"/>
              </w:rPr>
            </w:pPr>
            <w:r w:rsidRPr="00BE15DE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pa çati me termoizolim</w:t>
            </w:r>
          </w:p>
        </w:tc>
      </w:tr>
      <w:tr w:rsidR="00BE15DE" w:rsidRPr="0066540E" w:rsidTr="00304C0E">
        <w:trPr>
          <w:trHeight w:val="346"/>
        </w:trPr>
        <w:tc>
          <w:tcPr>
            <w:tcW w:w="9356" w:type="dxa"/>
            <w:vAlign w:val="bottom"/>
          </w:tcPr>
          <w:p w:rsidR="00BE15DE" w:rsidRPr="00BE15DE" w:rsidRDefault="00BE15DE" w:rsidP="00BE15D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BE15D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  <w:p w:rsidR="00BE15DE" w:rsidRPr="00BE15DE" w:rsidRDefault="00BE15DE" w:rsidP="00BE15DE">
            <w:pPr>
              <w:pStyle w:val="ListParagraph"/>
              <w:ind w:left="727"/>
              <w:rPr>
                <w:rFonts w:ascii="Times New Roman" w:hAnsi="Times New Roman" w:cs="Times New Roman"/>
                <w:sz w:val="24"/>
                <w:szCs w:val="24"/>
              </w:rPr>
            </w:pPr>
            <w:r w:rsidRPr="00BE15DE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me çati pa termoizolim</w:t>
            </w:r>
          </w:p>
        </w:tc>
      </w:tr>
      <w:tr w:rsidR="00BE15DE" w:rsidRPr="0066540E" w:rsidTr="00304C0E">
        <w:trPr>
          <w:trHeight w:val="346"/>
        </w:trPr>
        <w:tc>
          <w:tcPr>
            <w:tcW w:w="9356" w:type="dxa"/>
            <w:vAlign w:val="bottom"/>
          </w:tcPr>
          <w:p w:rsidR="00BE15DE" w:rsidRPr="00BE15DE" w:rsidRDefault="00BE15DE" w:rsidP="00BE15D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BE15D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  <w:p w:rsidR="00BE15DE" w:rsidRPr="00BE15DE" w:rsidRDefault="00BE15DE" w:rsidP="00BE15DE">
            <w:pPr>
              <w:pStyle w:val="ListParagraph"/>
              <w:ind w:left="727"/>
              <w:rPr>
                <w:rFonts w:ascii="Times New Roman" w:hAnsi="Times New Roman" w:cs="Times New Roman"/>
                <w:sz w:val="24"/>
                <w:szCs w:val="24"/>
              </w:rPr>
            </w:pPr>
            <w:r w:rsidRPr="00BE15DE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Muret e jashtme dhe çatia me termoizolim</w:t>
            </w:r>
          </w:p>
        </w:tc>
      </w:tr>
    </w:tbl>
    <w:p w:rsidR="008A0D35" w:rsidRPr="0066540E" w:rsidRDefault="008A0D35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485E98" w:rsidRDefault="009242B9" w:rsidP="006537F0">
            <w:pPr>
              <w:ind w:left="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66540E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начингрејања</w:t>
            </w:r>
            <w:r w:rsidR="00ED03A4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BE15DE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752BCA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ED03A4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E15DE" w:rsidRPr="00485E98" w:rsidRDefault="00BE15DE" w:rsidP="00485E98">
            <w:pPr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Mënyra ekzistuese e ngrohjes, për zbatimin e masave që lidhen me zëvendësimin e stufës ose kaldajës ekzistuese sipas pikës 4), 5) ose 6), (rrethoni numrin </w:t>
            </w:r>
            <w:r w:rsidR="00485E98" w:rsidRPr="00485E98">
              <w:rPr>
                <w:rFonts w:ascii="Times New Roman" w:hAnsi="Times New Roman" w:cs="Times New Roman"/>
                <w:b/>
                <w:sz w:val="24"/>
                <w:szCs w:val="24"/>
              </w:rPr>
              <w:t>rendor</w:t>
            </w:r>
            <w:r w:rsidRPr="00485E98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485E98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5E98" w:rsidRPr="00485E98" w:rsidRDefault="00485E98" w:rsidP="00485E9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Угаљ/ лож уље,/мазут </w:t>
            </w:r>
            <w:r w:rsidRPr="00485E98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- Qymyr / vaj për ngrohje, / naftë</w:t>
            </w:r>
          </w:p>
        </w:tc>
      </w:tr>
      <w:tr w:rsidR="00485E98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5E98" w:rsidRPr="00485E98" w:rsidRDefault="00485E98" w:rsidP="00485E9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Електрична енергија</w:t>
            </w:r>
            <w:r w:rsidRPr="00485E98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– Energji elektrike</w:t>
            </w:r>
          </w:p>
        </w:tc>
      </w:tr>
      <w:tr w:rsidR="00485E98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5E98" w:rsidRPr="00485E98" w:rsidRDefault="00485E98" w:rsidP="00485E9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Дрво</w:t>
            </w:r>
            <w:r w:rsidRPr="00485E98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- Dru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485E98" w:rsidRDefault="00A00A87" w:rsidP="00485E9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  <w:r w:rsidR="00485E98" w:rsidRPr="00485E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Gaz natyror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485E9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r w:rsidR="00485E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- Pelet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485E9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  <w:r w:rsidR="00485E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Ngrohje në distancë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771A21" w:rsidP="00485E9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485E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Tjetër (shënoni)</w:t>
            </w:r>
          </w:p>
          <w:p w:rsidR="00ED03A4" w:rsidRDefault="00ED03A4" w:rsidP="006537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6537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B04B51" w:rsidRDefault="00ED03A4" w:rsidP="006537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788C" w:rsidRDefault="002C788C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1"/>
        <w:gridCol w:w="9356"/>
      </w:tblGrid>
      <w:tr w:rsidR="00A0389E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Default="004F2A9E" w:rsidP="006537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  <w:p w:rsidR="00485E98" w:rsidRPr="00485E98" w:rsidRDefault="00485E98" w:rsidP="00485E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Uji i konsumit për amvisëri ngrohet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me, </w:t>
            </w:r>
            <w:r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vetëm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për masën nga</w:t>
            </w:r>
            <w:r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pik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a</w:t>
            </w:r>
            <w:r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8) që i referohet instalimit të kolektorëve diellorë, (rrethoni numrin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rendor</w:t>
            </w:r>
            <w:r w:rsidRPr="00485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):</w:t>
            </w:r>
          </w:p>
        </w:tc>
      </w:tr>
      <w:tr w:rsidR="00485E98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5E98" w:rsidRPr="00485E98" w:rsidRDefault="00485E98" w:rsidP="00797EF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Угаљ/ лож уље,/мазут </w:t>
            </w:r>
            <w:r w:rsidRPr="00485E98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- Qymyr / vaj për ngrohje, / naftë</w:t>
            </w:r>
          </w:p>
        </w:tc>
      </w:tr>
      <w:tr w:rsidR="00485E98" w:rsidRPr="0066540E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5E98" w:rsidRPr="00485E98" w:rsidRDefault="00485E98" w:rsidP="00797EF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Електрична енергија</w:t>
            </w:r>
            <w:r w:rsidRPr="00485E98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– Energji elektrike</w:t>
            </w:r>
          </w:p>
        </w:tc>
      </w:tr>
      <w:tr w:rsidR="00485E98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5E98" w:rsidRPr="00485E98" w:rsidRDefault="00485E98" w:rsidP="00797EF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Дрво</w:t>
            </w:r>
            <w:r w:rsidRPr="00485E98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- Dru</w:t>
            </w:r>
          </w:p>
        </w:tc>
      </w:tr>
      <w:tr w:rsidR="00485E98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5E98" w:rsidRPr="00485E98" w:rsidRDefault="00485E98" w:rsidP="00797EF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  <w:r w:rsidRPr="00485E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Gaz natyror</w:t>
            </w:r>
          </w:p>
        </w:tc>
      </w:tr>
      <w:tr w:rsidR="00485E98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5E98" w:rsidRPr="000A0766" w:rsidRDefault="00485E98" w:rsidP="00797EF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- Pelet</w:t>
            </w:r>
          </w:p>
        </w:tc>
      </w:tr>
      <w:tr w:rsidR="00485E98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5E98" w:rsidRDefault="00485E98" w:rsidP="00797EF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Ngrohje në distancë</w:t>
            </w:r>
          </w:p>
        </w:tc>
      </w:tr>
      <w:tr w:rsidR="00485E98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5E98" w:rsidRDefault="00485E98" w:rsidP="00797EF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(уписати)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Tjetër (shënoni)</w:t>
            </w:r>
          </w:p>
          <w:p w:rsidR="00485E98" w:rsidRDefault="00485E98" w:rsidP="00797E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5E98" w:rsidRDefault="00485E98" w:rsidP="00797E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5E98" w:rsidRPr="00B04B51" w:rsidRDefault="00485E98" w:rsidP="00797E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65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E63938">
        <w:tc>
          <w:tcPr>
            <w:tcW w:w="9323" w:type="dxa"/>
          </w:tcPr>
          <w:p w:rsidR="00916EC9" w:rsidRDefault="00916EC9" w:rsidP="00653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48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85E98" w:rsidRPr="00B66347" w:rsidRDefault="00485E98" w:rsidP="0048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Dritaret ekzistuese në ndërtesën tuaj, për zbatimin e masës nga pika 1) lidhur me ndërrimin e punimeve të drurit (rrethoni numrin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r w:rsidRPr="0048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E63938" w:rsidRPr="0066540E" w:rsidTr="00E63938">
        <w:trPr>
          <w:trHeight w:val="346"/>
        </w:trPr>
        <w:tc>
          <w:tcPr>
            <w:tcW w:w="9323" w:type="dxa"/>
          </w:tcPr>
          <w:p w:rsidR="00E63938" w:rsidRPr="0066540E" w:rsidRDefault="00E63938" w:rsidP="006537F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="00485E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Dritare ne profil druri</w:t>
            </w:r>
          </w:p>
        </w:tc>
      </w:tr>
      <w:tr w:rsidR="00E63938" w:rsidRPr="0066540E" w:rsidTr="00E63938">
        <w:trPr>
          <w:trHeight w:val="343"/>
        </w:trPr>
        <w:tc>
          <w:tcPr>
            <w:tcW w:w="9323" w:type="dxa"/>
          </w:tcPr>
          <w:p w:rsidR="00E63938" w:rsidRPr="0066540E" w:rsidRDefault="00E63938" w:rsidP="00485E9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  <w:r w:rsidR="00485E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- Dritare ne profil çeliku</w:t>
            </w:r>
          </w:p>
        </w:tc>
      </w:tr>
    </w:tbl>
    <w:p w:rsidR="0066540E" w:rsidRPr="003E5425" w:rsidRDefault="0066540E" w:rsidP="0065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66540E" w:rsidRPr="0066540E" w:rsidRDefault="0066540E" w:rsidP="006537F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E3" w:rsidRPr="0066540E" w:rsidRDefault="00030EE3" w:rsidP="0065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65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r w:rsidR="00485E98">
        <w:rPr>
          <w:rFonts w:ascii="Times New Roman" w:hAnsi="Times New Roman" w:cs="Times New Roman"/>
          <w:sz w:val="24"/>
          <w:szCs w:val="24"/>
        </w:rPr>
        <w:t xml:space="preserve"> - Më</w:t>
      </w:r>
      <w:r w:rsidRPr="0066540E">
        <w:rPr>
          <w:rFonts w:ascii="Times New Roman" w:hAnsi="Times New Roman" w:cs="Times New Roman"/>
          <w:sz w:val="24"/>
          <w:szCs w:val="24"/>
        </w:rPr>
        <w:t>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653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  <w:r w:rsidR="00485E98">
        <w:rPr>
          <w:rFonts w:ascii="Times New Roman" w:hAnsi="Times New Roman" w:cs="Times New Roman"/>
          <w:sz w:val="24"/>
          <w:szCs w:val="24"/>
        </w:rPr>
        <w:t xml:space="preserve"> – Nënshkrimi i aplikantit</w:t>
      </w:r>
    </w:p>
    <w:p w:rsidR="004E14BD" w:rsidRDefault="004E14BD" w:rsidP="006537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6537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65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6537F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0C" w:rsidRDefault="00D3460C" w:rsidP="00CB7E8C">
      <w:pPr>
        <w:spacing w:after="0" w:line="240" w:lineRule="auto"/>
      </w:pPr>
      <w:r>
        <w:separator/>
      </w:r>
    </w:p>
  </w:endnote>
  <w:endnote w:type="continuationSeparator" w:id="1">
    <w:p w:rsidR="00D3460C" w:rsidRDefault="00D3460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0C" w:rsidRDefault="00D3460C" w:rsidP="00CB7E8C">
      <w:pPr>
        <w:spacing w:after="0" w:line="240" w:lineRule="auto"/>
      </w:pPr>
      <w:r>
        <w:separator/>
      </w:r>
    </w:p>
  </w:footnote>
  <w:footnote w:type="continuationSeparator" w:id="1">
    <w:p w:rsidR="00D3460C" w:rsidRDefault="00D3460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8A" w:rsidRPr="0066540E" w:rsidRDefault="00470C8A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6C84D89"/>
    <w:multiLevelType w:val="hybridMultilevel"/>
    <w:tmpl w:val="758AD1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E70F4"/>
    <w:multiLevelType w:val="hybridMultilevel"/>
    <w:tmpl w:val="440E54BE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100A0"/>
    <w:multiLevelType w:val="hybridMultilevel"/>
    <w:tmpl w:val="2D08EB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4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10"/>
  </w:num>
  <w:num w:numId="5">
    <w:abstractNumId w:val="16"/>
  </w:num>
  <w:num w:numId="6">
    <w:abstractNumId w:val="32"/>
  </w:num>
  <w:num w:numId="7">
    <w:abstractNumId w:val="14"/>
  </w:num>
  <w:num w:numId="8">
    <w:abstractNumId w:val="17"/>
  </w:num>
  <w:num w:numId="9">
    <w:abstractNumId w:val="34"/>
  </w:num>
  <w:num w:numId="10">
    <w:abstractNumId w:val="33"/>
  </w:num>
  <w:num w:numId="11">
    <w:abstractNumId w:val="9"/>
  </w:num>
  <w:num w:numId="12">
    <w:abstractNumId w:val="31"/>
  </w:num>
  <w:num w:numId="13">
    <w:abstractNumId w:val="25"/>
  </w:num>
  <w:num w:numId="14">
    <w:abstractNumId w:val="5"/>
  </w:num>
  <w:num w:numId="15">
    <w:abstractNumId w:val="11"/>
  </w:num>
  <w:num w:numId="16">
    <w:abstractNumId w:val="23"/>
  </w:num>
  <w:num w:numId="17">
    <w:abstractNumId w:val="30"/>
  </w:num>
  <w:num w:numId="18">
    <w:abstractNumId w:val="21"/>
  </w:num>
  <w:num w:numId="19">
    <w:abstractNumId w:val="0"/>
  </w:num>
  <w:num w:numId="20">
    <w:abstractNumId w:val="13"/>
  </w:num>
  <w:num w:numId="21">
    <w:abstractNumId w:val="6"/>
  </w:num>
  <w:num w:numId="22">
    <w:abstractNumId w:val="8"/>
  </w:num>
  <w:num w:numId="23">
    <w:abstractNumId w:val="26"/>
  </w:num>
  <w:num w:numId="24">
    <w:abstractNumId w:val="12"/>
  </w:num>
  <w:num w:numId="25">
    <w:abstractNumId w:val="20"/>
  </w:num>
  <w:num w:numId="26">
    <w:abstractNumId w:val="24"/>
  </w:num>
  <w:num w:numId="27">
    <w:abstractNumId w:val="2"/>
  </w:num>
  <w:num w:numId="28">
    <w:abstractNumId w:val="15"/>
  </w:num>
  <w:num w:numId="29">
    <w:abstractNumId w:val="29"/>
  </w:num>
  <w:num w:numId="30">
    <w:abstractNumId w:val="7"/>
  </w:num>
  <w:num w:numId="31">
    <w:abstractNumId w:val="19"/>
  </w:num>
  <w:num w:numId="32">
    <w:abstractNumId w:val="3"/>
  </w:num>
  <w:num w:numId="33">
    <w:abstractNumId w:val="4"/>
  </w:num>
  <w:num w:numId="34">
    <w:abstractNumId w:val="1"/>
  </w:num>
  <w:num w:numId="35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87998"/>
    <w:rsid w:val="002B31BC"/>
    <w:rsid w:val="002B5978"/>
    <w:rsid w:val="002C788C"/>
    <w:rsid w:val="002D1A13"/>
    <w:rsid w:val="002D37E0"/>
    <w:rsid w:val="002F7814"/>
    <w:rsid w:val="00304C0E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70C8A"/>
    <w:rsid w:val="00485E98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03B6E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37F0"/>
    <w:rsid w:val="0065562C"/>
    <w:rsid w:val="00660350"/>
    <w:rsid w:val="0066540E"/>
    <w:rsid w:val="00670599"/>
    <w:rsid w:val="00675765"/>
    <w:rsid w:val="00682E9E"/>
    <w:rsid w:val="0069163C"/>
    <w:rsid w:val="00696234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379A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1D1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27477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15DE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0638F"/>
    <w:rsid w:val="00D13CF6"/>
    <w:rsid w:val="00D17F10"/>
    <w:rsid w:val="00D24529"/>
    <w:rsid w:val="00D24B27"/>
    <w:rsid w:val="00D3460C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218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Sali Salihi</cp:lastModifiedBy>
  <cp:revision>2</cp:revision>
  <cp:lastPrinted>2021-08-06T05:54:00Z</cp:lastPrinted>
  <dcterms:created xsi:type="dcterms:W3CDTF">2023-10-31T10:32:00Z</dcterms:created>
  <dcterms:modified xsi:type="dcterms:W3CDTF">2023-10-31T10:32:00Z</dcterms:modified>
</cp:coreProperties>
</file>