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AFF" w:rsidRPr="00FC0A9E" w:rsidRDefault="00371AFF" w:rsidP="00371AFF">
      <w:pPr>
        <w:jc w:val="center"/>
        <w:rPr>
          <w:rFonts w:ascii="Times New Roman" w:hAnsi="Times New Roman" w:cs="Times New Roman"/>
        </w:rPr>
      </w:pPr>
      <w:r w:rsidRPr="00FC0A9E">
        <w:rPr>
          <w:rFonts w:ascii="Times New Roman" w:hAnsi="Times New Roman" w:cs="Times New Roman"/>
          <w:noProof/>
        </w:rPr>
        <w:drawing>
          <wp:inline distT="0" distB="0" distL="0" distR="0">
            <wp:extent cx="1828800" cy="1300162"/>
            <wp:effectExtent l="19050" t="0" r="0" b="0"/>
            <wp:docPr id="1" name="Picture 0" descr="grb s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srb.jpg"/>
                    <pic:cNvPicPr/>
                  </pic:nvPicPr>
                  <pic:blipFill>
                    <a:blip r:embed="rId8" cstate="print"/>
                    <a:stretch>
                      <a:fillRect/>
                    </a:stretch>
                  </pic:blipFill>
                  <pic:spPr>
                    <a:xfrm>
                      <a:off x="0" y="0"/>
                      <a:ext cx="1832047" cy="1302470"/>
                    </a:xfrm>
                    <a:prstGeom prst="rect">
                      <a:avLst/>
                    </a:prstGeom>
                  </pic:spPr>
                </pic:pic>
              </a:graphicData>
            </a:graphic>
          </wp:inline>
        </w:drawing>
      </w:r>
    </w:p>
    <w:p w:rsidR="00371AFF" w:rsidRPr="00FC0A9E" w:rsidRDefault="00371AFF" w:rsidP="00371AFF">
      <w:pPr>
        <w:spacing w:after="0"/>
        <w:jc w:val="center"/>
        <w:rPr>
          <w:rFonts w:ascii="Times New Roman" w:hAnsi="Times New Roman" w:cs="Times New Roman"/>
          <w:b/>
          <w:bCs/>
          <w:iCs/>
        </w:rPr>
      </w:pPr>
      <w:r w:rsidRPr="00FC0A9E">
        <w:rPr>
          <w:rFonts w:ascii="Times New Roman" w:hAnsi="Times New Roman" w:cs="Times New Roman"/>
          <w:b/>
          <w:bCs/>
          <w:iCs/>
        </w:rPr>
        <w:t>РЕПУБЛИКА СРБИЈА / REPUBLIKA E SERBISË</w:t>
      </w:r>
    </w:p>
    <w:p w:rsidR="00371AFF" w:rsidRPr="00FC0A9E" w:rsidRDefault="00371AFF" w:rsidP="00371AFF">
      <w:pPr>
        <w:spacing w:after="0"/>
        <w:jc w:val="center"/>
        <w:rPr>
          <w:rFonts w:ascii="Times New Roman" w:hAnsi="Times New Roman" w:cs="Times New Roman"/>
          <w:b/>
          <w:bCs/>
          <w:iCs/>
        </w:rPr>
      </w:pPr>
      <w:r w:rsidRPr="00FC0A9E">
        <w:rPr>
          <w:rFonts w:ascii="Times New Roman" w:hAnsi="Times New Roman" w:cs="Times New Roman"/>
          <w:b/>
          <w:bCs/>
          <w:iCs/>
        </w:rPr>
        <w:t>ОПШТИНА БУЈАНОВАЦ / KOMUNA E BUJANOCIT</w:t>
      </w:r>
    </w:p>
    <w:p w:rsidR="00371AFF" w:rsidRPr="00FC0A9E" w:rsidRDefault="00371AFF" w:rsidP="00371AFF">
      <w:pPr>
        <w:spacing w:after="0"/>
        <w:jc w:val="center"/>
        <w:rPr>
          <w:rFonts w:ascii="Times New Roman" w:hAnsi="Times New Roman" w:cs="Times New Roman"/>
          <w:b/>
          <w:bCs/>
          <w:i/>
          <w:lang w:val="sq-AL"/>
        </w:rPr>
      </w:pPr>
      <w:r w:rsidRPr="00FC0A9E">
        <w:rPr>
          <w:rStyle w:val="sittext"/>
          <w:rFonts w:ascii="Times New Roman" w:hAnsi="Times New Roman" w:cs="Times New Roman"/>
          <w:b/>
        </w:rPr>
        <w:t>Карађорђа Петровића, бр. 115, 17520 Бујановац</w:t>
      </w:r>
    </w:p>
    <w:p w:rsidR="00371AFF" w:rsidRPr="00FC0A9E" w:rsidRDefault="00371AFF" w:rsidP="00371AFF">
      <w:pPr>
        <w:spacing w:after="0"/>
        <w:jc w:val="center"/>
        <w:rPr>
          <w:rFonts w:ascii="Times New Roman" w:hAnsi="Times New Roman" w:cs="Times New Roman"/>
          <w:b/>
          <w:bCs/>
          <w:iCs/>
        </w:rPr>
      </w:pPr>
      <w:r w:rsidRPr="00FC0A9E">
        <w:rPr>
          <w:rFonts w:ascii="Times New Roman" w:hAnsi="Times New Roman" w:cs="Times New Roman"/>
          <w:b/>
          <w:bCs/>
          <w:lang w:val="sq-AL"/>
        </w:rPr>
        <w:t>Karagjorgje Petroviq, nr. 115, 17520 Bujanoc</w:t>
      </w:r>
    </w:p>
    <w:p w:rsidR="00371AFF" w:rsidRPr="00FC0A9E" w:rsidRDefault="00371AFF" w:rsidP="00371AFF">
      <w:pPr>
        <w:spacing w:after="0"/>
        <w:jc w:val="center"/>
        <w:rPr>
          <w:rFonts w:ascii="Times New Roman" w:hAnsi="Times New Roman" w:cs="Times New Roman"/>
        </w:rPr>
      </w:pPr>
      <w:r w:rsidRPr="00FC0A9E">
        <w:rPr>
          <w:rFonts w:ascii="Times New Roman" w:hAnsi="Times New Roman" w:cs="Times New Roman"/>
          <w:b/>
          <w:bCs/>
          <w:iCs/>
        </w:rPr>
        <w:t>www.bujanovac.rs</w:t>
      </w:r>
    </w:p>
    <w:p w:rsidR="00371AFF" w:rsidRPr="00FC0A9E" w:rsidRDefault="00371AFF" w:rsidP="00371AFF">
      <w:pPr>
        <w:spacing w:after="0"/>
        <w:jc w:val="center"/>
        <w:rPr>
          <w:rFonts w:ascii="Times New Roman" w:hAnsi="Times New Roman" w:cs="Times New Roman"/>
        </w:rPr>
      </w:pPr>
    </w:p>
    <w:p w:rsidR="00371AFF" w:rsidRPr="00FC0A9E" w:rsidRDefault="00371AFF" w:rsidP="00371AFF">
      <w:pPr>
        <w:spacing w:after="0"/>
        <w:jc w:val="center"/>
        <w:rPr>
          <w:rFonts w:ascii="Times New Roman" w:hAnsi="Times New Roman" w:cs="Times New Roman"/>
        </w:rPr>
      </w:pPr>
    </w:p>
    <w:p w:rsidR="00371AFF" w:rsidRPr="00FC0A9E" w:rsidRDefault="00371AFF" w:rsidP="00371AFF">
      <w:pPr>
        <w:spacing w:after="0"/>
        <w:rPr>
          <w:rFonts w:ascii="Times New Roman" w:hAnsi="Times New Roman" w:cs="Times New Roman"/>
          <w:b/>
          <w:lang w:val="sq-AL"/>
        </w:rPr>
      </w:pPr>
      <w:r w:rsidRPr="00FC0A9E">
        <w:rPr>
          <w:rFonts w:ascii="Times New Roman" w:hAnsi="Times New Roman" w:cs="Times New Roman"/>
          <w:b/>
        </w:rPr>
        <w:t>Број - </w:t>
      </w:r>
      <w:r w:rsidRPr="00FC0A9E">
        <w:rPr>
          <w:rFonts w:ascii="Times New Roman" w:hAnsi="Times New Roman" w:cs="Times New Roman"/>
          <w:b/>
          <w:lang w:val="sq-AL"/>
        </w:rPr>
        <w:t xml:space="preserve">Numër: </w:t>
      </w:r>
      <w:r w:rsidRPr="00FC0A9E">
        <w:rPr>
          <w:rFonts w:ascii="Times New Roman" w:hAnsi="Times New Roman" w:cs="Times New Roman"/>
          <w:b/>
        </w:rPr>
        <w:t>ЉР-</w:t>
      </w:r>
      <w:r w:rsidR="00A54EE1">
        <w:rPr>
          <w:rFonts w:ascii="Times New Roman" w:hAnsi="Times New Roman" w:cs="Times New Roman"/>
          <w:b/>
        </w:rPr>
        <w:t>8</w:t>
      </w:r>
      <w:r w:rsidRPr="00FC0A9E">
        <w:rPr>
          <w:rFonts w:ascii="Times New Roman" w:hAnsi="Times New Roman" w:cs="Times New Roman"/>
          <w:b/>
        </w:rPr>
        <w:t>/2021</w:t>
      </w:r>
    </w:p>
    <w:p w:rsidR="00371AFF" w:rsidRPr="00FC0A9E" w:rsidRDefault="00371AFF" w:rsidP="00371AFF">
      <w:pPr>
        <w:spacing w:after="0"/>
        <w:rPr>
          <w:rFonts w:ascii="Times New Roman" w:hAnsi="Times New Roman" w:cs="Times New Roman"/>
          <w:b/>
        </w:rPr>
      </w:pPr>
      <w:r w:rsidRPr="00FC0A9E">
        <w:rPr>
          <w:rFonts w:ascii="Times New Roman" w:hAnsi="Times New Roman" w:cs="Times New Roman"/>
          <w:b/>
        </w:rPr>
        <w:t>Дана - </w:t>
      </w:r>
      <w:r w:rsidRPr="00FC0A9E">
        <w:rPr>
          <w:rFonts w:ascii="Times New Roman" w:hAnsi="Times New Roman" w:cs="Times New Roman"/>
          <w:b/>
          <w:lang w:val="sq-AL"/>
        </w:rPr>
        <w:t xml:space="preserve">Më: </w:t>
      </w:r>
      <w:r w:rsidRPr="00FC0A9E">
        <w:rPr>
          <w:rFonts w:ascii="Times New Roman" w:hAnsi="Times New Roman" w:cs="Times New Roman"/>
          <w:b/>
        </w:rPr>
        <w:t>17.03</w:t>
      </w:r>
      <w:r w:rsidRPr="00FC0A9E">
        <w:rPr>
          <w:rFonts w:ascii="Times New Roman" w:hAnsi="Times New Roman" w:cs="Times New Roman"/>
          <w:b/>
          <w:lang w:val="sq-AL"/>
        </w:rPr>
        <w:t>.2021.године</w:t>
      </w:r>
    </w:p>
    <w:p w:rsidR="00371AFF" w:rsidRPr="00FC0A9E" w:rsidRDefault="00371AFF" w:rsidP="00371AFF">
      <w:pPr>
        <w:spacing w:after="0"/>
        <w:rPr>
          <w:rFonts w:ascii="Times New Roman" w:hAnsi="Times New Roman" w:cs="Times New Roman"/>
          <w:b/>
          <w:bCs/>
        </w:rPr>
      </w:pPr>
      <w:r w:rsidRPr="00FC0A9E">
        <w:rPr>
          <w:rFonts w:ascii="Times New Roman" w:hAnsi="Times New Roman" w:cs="Times New Roman"/>
          <w:b/>
          <w:bCs/>
        </w:rPr>
        <w:t>Бујановац- </w:t>
      </w:r>
      <w:r w:rsidRPr="00FC0A9E">
        <w:rPr>
          <w:rFonts w:ascii="Times New Roman" w:hAnsi="Times New Roman" w:cs="Times New Roman"/>
          <w:b/>
          <w:bCs/>
          <w:lang w:val="sq-AL"/>
        </w:rPr>
        <w:t>Bujanoc</w:t>
      </w:r>
    </w:p>
    <w:p w:rsidR="00371AFF" w:rsidRPr="00FC0A9E" w:rsidRDefault="00371AFF" w:rsidP="00371AFF">
      <w:pPr>
        <w:spacing w:after="0"/>
        <w:rPr>
          <w:rFonts w:ascii="Times New Roman" w:hAnsi="Times New Roman" w:cs="Times New Roman"/>
          <w:b/>
          <w:bCs/>
        </w:rPr>
      </w:pPr>
    </w:p>
    <w:p w:rsidR="00371AFF" w:rsidRPr="00FC0A9E" w:rsidRDefault="00371AFF" w:rsidP="00371AFF">
      <w:pPr>
        <w:spacing w:after="0"/>
        <w:rPr>
          <w:rFonts w:ascii="Times New Roman" w:hAnsi="Times New Roman" w:cs="Times New Roman"/>
          <w:b/>
          <w:bCs/>
        </w:rPr>
      </w:pPr>
    </w:p>
    <w:p w:rsidR="00A54EE1" w:rsidRPr="00A54EE1" w:rsidRDefault="00A54EE1" w:rsidP="00371AFF">
      <w:pPr>
        <w:spacing w:after="0"/>
        <w:jc w:val="center"/>
        <w:rPr>
          <w:rFonts w:ascii="Times New Roman" w:hAnsi="Times New Roman" w:cs="Times New Roman"/>
          <w:b/>
          <w:bCs/>
          <w:sz w:val="28"/>
          <w:szCs w:val="28"/>
        </w:rPr>
      </w:pPr>
      <w:r w:rsidRPr="00A54EE1">
        <w:rPr>
          <w:rFonts w:ascii="Times New Roman" w:hAnsi="Times New Roman" w:cs="Times New Roman"/>
          <w:b/>
          <w:bCs/>
          <w:sz w:val="28"/>
          <w:szCs w:val="28"/>
        </w:rPr>
        <w:t xml:space="preserve">Смернице за припрему </w:t>
      </w:r>
    </w:p>
    <w:p w:rsidR="00371AFF" w:rsidRPr="00A54EE1" w:rsidRDefault="00A54EE1" w:rsidP="00371AFF">
      <w:pPr>
        <w:spacing w:after="0"/>
        <w:jc w:val="center"/>
        <w:rPr>
          <w:rFonts w:ascii="Times New Roman" w:hAnsi="Times New Roman" w:cs="Times New Roman"/>
          <w:b/>
          <w:bCs/>
          <w:sz w:val="28"/>
          <w:szCs w:val="28"/>
        </w:rPr>
      </w:pPr>
      <w:r w:rsidRPr="00A54EE1">
        <w:rPr>
          <w:rFonts w:ascii="Times New Roman" w:hAnsi="Times New Roman" w:cs="Times New Roman"/>
          <w:b/>
          <w:bCs/>
          <w:sz w:val="28"/>
          <w:szCs w:val="28"/>
        </w:rPr>
        <w:t>Обједињеног годишњег плана стручног усавршашвања</w:t>
      </w:r>
    </w:p>
    <w:p w:rsidR="00371AFF" w:rsidRPr="00FC0A9E" w:rsidRDefault="00371AFF" w:rsidP="00371AFF">
      <w:pPr>
        <w:spacing w:after="0"/>
        <w:jc w:val="center"/>
        <w:rPr>
          <w:rFonts w:ascii="Times New Roman" w:hAnsi="Times New Roman" w:cs="Times New Roman"/>
          <w:b/>
          <w:bCs/>
        </w:rPr>
      </w:pPr>
    </w:p>
    <w:p w:rsidR="00371AFF" w:rsidRPr="00FC0A9E" w:rsidRDefault="00371AFF" w:rsidP="00371AFF">
      <w:pPr>
        <w:spacing w:after="0"/>
        <w:jc w:val="center"/>
        <w:rPr>
          <w:rFonts w:ascii="Times New Roman" w:hAnsi="Times New Roman" w:cs="Times New Roman"/>
          <w:b/>
          <w:bCs/>
        </w:rPr>
      </w:pPr>
    </w:p>
    <w:p w:rsidR="00371AFF" w:rsidRPr="00FC0A9E" w:rsidRDefault="00371AFF" w:rsidP="00371AFF">
      <w:pPr>
        <w:spacing w:after="0"/>
        <w:jc w:val="center"/>
        <w:rPr>
          <w:rFonts w:ascii="Times New Roman" w:hAnsi="Times New Roman" w:cs="Times New Roman"/>
          <w:b/>
          <w:bCs/>
        </w:rPr>
      </w:pPr>
    </w:p>
    <w:p w:rsidR="00371AFF" w:rsidRPr="00FC0A9E" w:rsidRDefault="00371AFF" w:rsidP="00371AFF">
      <w:pPr>
        <w:spacing w:after="0"/>
        <w:jc w:val="center"/>
        <w:rPr>
          <w:rFonts w:ascii="Times New Roman" w:hAnsi="Times New Roman" w:cs="Times New Roman"/>
          <w:b/>
          <w:bCs/>
        </w:rPr>
      </w:pPr>
    </w:p>
    <w:p w:rsidR="00371AFF" w:rsidRPr="00FC0A9E" w:rsidRDefault="00371AFF" w:rsidP="00371AFF">
      <w:pPr>
        <w:spacing w:after="0"/>
        <w:jc w:val="center"/>
        <w:rPr>
          <w:rFonts w:ascii="Times New Roman" w:hAnsi="Times New Roman" w:cs="Times New Roman"/>
          <w:b/>
          <w:bCs/>
        </w:rPr>
      </w:pPr>
    </w:p>
    <w:p w:rsidR="00371AFF" w:rsidRPr="00FC0A9E" w:rsidRDefault="00371AFF" w:rsidP="00371AFF">
      <w:pPr>
        <w:spacing w:after="0"/>
        <w:jc w:val="center"/>
        <w:rPr>
          <w:rFonts w:ascii="Times New Roman" w:hAnsi="Times New Roman" w:cs="Times New Roman"/>
          <w:b/>
          <w:bCs/>
        </w:rPr>
      </w:pPr>
    </w:p>
    <w:p w:rsidR="00371AFF" w:rsidRPr="00FC0A9E" w:rsidRDefault="00371AFF" w:rsidP="00371AFF">
      <w:pPr>
        <w:spacing w:after="0"/>
        <w:jc w:val="center"/>
        <w:rPr>
          <w:rFonts w:ascii="Times New Roman" w:hAnsi="Times New Roman" w:cs="Times New Roman"/>
          <w:b/>
          <w:bCs/>
        </w:rPr>
      </w:pPr>
    </w:p>
    <w:p w:rsidR="00371AFF" w:rsidRPr="00FC0A9E" w:rsidRDefault="00371AFF" w:rsidP="00371AFF">
      <w:pPr>
        <w:spacing w:after="0"/>
        <w:jc w:val="center"/>
        <w:rPr>
          <w:rFonts w:ascii="Times New Roman" w:hAnsi="Times New Roman" w:cs="Times New Roman"/>
          <w:b/>
          <w:bCs/>
        </w:rPr>
      </w:pPr>
    </w:p>
    <w:p w:rsidR="00371AFF" w:rsidRPr="00FC0A9E" w:rsidRDefault="00371AFF" w:rsidP="00371AFF">
      <w:pPr>
        <w:spacing w:after="0"/>
        <w:jc w:val="center"/>
        <w:rPr>
          <w:rFonts w:ascii="Times New Roman" w:hAnsi="Times New Roman" w:cs="Times New Roman"/>
          <w:b/>
          <w:bCs/>
        </w:rPr>
      </w:pPr>
    </w:p>
    <w:p w:rsidR="00371AFF" w:rsidRPr="00FC0A9E" w:rsidRDefault="00371AFF" w:rsidP="00371AFF">
      <w:pPr>
        <w:spacing w:after="0"/>
        <w:jc w:val="center"/>
        <w:rPr>
          <w:rFonts w:ascii="Times New Roman" w:hAnsi="Times New Roman" w:cs="Times New Roman"/>
          <w:b/>
          <w:bCs/>
        </w:rPr>
      </w:pPr>
    </w:p>
    <w:p w:rsidR="00371AFF" w:rsidRPr="00FC0A9E" w:rsidRDefault="00371AFF" w:rsidP="00371AFF">
      <w:pPr>
        <w:spacing w:after="0"/>
        <w:jc w:val="center"/>
        <w:rPr>
          <w:rFonts w:ascii="Times New Roman" w:hAnsi="Times New Roman" w:cs="Times New Roman"/>
          <w:b/>
          <w:bCs/>
        </w:rPr>
      </w:pPr>
    </w:p>
    <w:p w:rsidR="00371AFF" w:rsidRPr="00FC0A9E" w:rsidRDefault="00371AFF" w:rsidP="00371AFF">
      <w:pPr>
        <w:spacing w:after="0"/>
        <w:jc w:val="center"/>
        <w:rPr>
          <w:rFonts w:ascii="Times New Roman" w:hAnsi="Times New Roman" w:cs="Times New Roman"/>
          <w:b/>
          <w:bCs/>
        </w:rPr>
      </w:pPr>
    </w:p>
    <w:p w:rsidR="00371AFF" w:rsidRPr="00FC0A9E" w:rsidRDefault="00371AFF" w:rsidP="00371AFF">
      <w:pPr>
        <w:spacing w:after="0"/>
        <w:jc w:val="center"/>
        <w:rPr>
          <w:rFonts w:ascii="Times New Roman" w:hAnsi="Times New Roman" w:cs="Times New Roman"/>
          <w:b/>
          <w:bCs/>
        </w:rPr>
      </w:pPr>
    </w:p>
    <w:p w:rsidR="00371AFF" w:rsidRPr="00FC0A9E" w:rsidRDefault="00371AFF" w:rsidP="00371AFF">
      <w:pPr>
        <w:spacing w:after="0"/>
        <w:jc w:val="center"/>
        <w:rPr>
          <w:rFonts w:ascii="Times New Roman" w:hAnsi="Times New Roman" w:cs="Times New Roman"/>
          <w:b/>
          <w:bCs/>
        </w:rPr>
      </w:pPr>
    </w:p>
    <w:p w:rsidR="00371AFF" w:rsidRPr="00FC0A9E" w:rsidRDefault="00371AFF" w:rsidP="00371AFF">
      <w:pPr>
        <w:spacing w:after="0"/>
        <w:jc w:val="center"/>
        <w:rPr>
          <w:rFonts w:ascii="Times New Roman" w:hAnsi="Times New Roman" w:cs="Times New Roman"/>
          <w:b/>
          <w:bCs/>
        </w:rPr>
      </w:pPr>
    </w:p>
    <w:p w:rsidR="00371AFF" w:rsidRPr="00FC0A9E" w:rsidRDefault="00371AFF" w:rsidP="00371AFF">
      <w:pPr>
        <w:spacing w:after="0"/>
        <w:jc w:val="center"/>
        <w:rPr>
          <w:rFonts w:ascii="Times New Roman" w:hAnsi="Times New Roman" w:cs="Times New Roman"/>
          <w:b/>
          <w:bCs/>
        </w:rPr>
      </w:pPr>
    </w:p>
    <w:p w:rsidR="00371AFF" w:rsidRPr="00FC0A9E" w:rsidRDefault="00371AFF" w:rsidP="00371AFF">
      <w:pPr>
        <w:spacing w:after="0"/>
        <w:jc w:val="center"/>
        <w:rPr>
          <w:rFonts w:ascii="Times New Roman" w:hAnsi="Times New Roman" w:cs="Times New Roman"/>
          <w:b/>
          <w:bCs/>
        </w:rPr>
      </w:pPr>
    </w:p>
    <w:p w:rsidR="00371AFF" w:rsidRPr="00FC0A9E" w:rsidRDefault="00371AFF" w:rsidP="00371AFF">
      <w:pPr>
        <w:spacing w:after="0"/>
        <w:jc w:val="center"/>
        <w:rPr>
          <w:rFonts w:ascii="Times New Roman" w:hAnsi="Times New Roman" w:cs="Times New Roman"/>
          <w:b/>
          <w:bCs/>
        </w:rPr>
      </w:pPr>
    </w:p>
    <w:p w:rsidR="00371AFF" w:rsidRPr="00FC0A9E" w:rsidRDefault="00371AFF" w:rsidP="00371AFF">
      <w:pPr>
        <w:spacing w:after="0"/>
        <w:jc w:val="center"/>
        <w:rPr>
          <w:rFonts w:ascii="Times New Roman" w:hAnsi="Times New Roman" w:cs="Times New Roman"/>
          <w:b/>
          <w:bCs/>
        </w:rPr>
      </w:pPr>
    </w:p>
    <w:p w:rsidR="00A54EE1" w:rsidRDefault="00A54EE1" w:rsidP="00371AFF">
      <w:pPr>
        <w:spacing w:after="0"/>
        <w:jc w:val="center"/>
        <w:rPr>
          <w:rFonts w:ascii="Times New Roman" w:hAnsi="Times New Roman" w:cs="Times New Roman"/>
          <w:b/>
          <w:bCs/>
        </w:rPr>
      </w:pPr>
    </w:p>
    <w:p w:rsidR="00371AFF" w:rsidRDefault="00371AFF" w:rsidP="00371AFF">
      <w:pPr>
        <w:spacing w:after="0"/>
        <w:jc w:val="center"/>
        <w:rPr>
          <w:rFonts w:ascii="Times New Roman" w:hAnsi="Times New Roman" w:cs="Times New Roman"/>
          <w:b/>
          <w:bCs/>
        </w:rPr>
      </w:pPr>
      <w:r w:rsidRPr="00FC0A9E">
        <w:rPr>
          <w:rFonts w:ascii="Times New Roman" w:hAnsi="Times New Roman" w:cs="Times New Roman"/>
          <w:b/>
          <w:bCs/>
        </w:rPr>
        <w:t>Март, 2021.године</w:t>
      </w:r>
    </w:p>
    <w:p w:rsidR="00A0056A" w:rsidRDefault="00A0056A" w:rsidP="00371AFF">
      <w:pPr>
        <w:spacing w:after="0"/>
        <w:jc w:val="center"/>
        <w:rPr>
          <w:rFonts w:ascii="Times New Roman" w:hAnsi="Times New Roman" w:cs="Times New Roman"/>
          <w:b/>
          <w:bCs/>
        </w:rPr>
      </w:pPr>
    </w:p>
    <w:p w:rsidR="00A0056A" w:rsidRDefault="00A0056A" w:rsidP="00371AFF">
      <w:pPr>
        <w:spacing w:after="0"/>
        <w:jc w:val="center"/>
        <w:rPr>
          <w:rFonts w:ascii="Times New Roman" w:hAnsi="Times New Roman" w:cs="Times New Roman"/>
          <w:b/>
          <w:bCs/>
        </w:rPr>
      </w:pPr>
    </w:p>
    <w:p w:rsidR="00A0056A" w:rsidRPr="00A0056A" w:rsidRDefault="00A0056A" w:rsidP="00371AFF">
      <w:pPr>
        <w:spacing w:after="0"/>
        <w:jc w:val="center"/>
        <w:rPr>
          <w:rFonts w:ascii="Times New Roman" w:hAnsi="Times New Roman" w:cs="Times New Roman"/>
          <w:b/>
          <w:bCs/>
        </w:rPr>
      </w:pPr>
    </w:p>
    <w:p w:rsidR="00A54EE1" w:rsidRPr="00A54EE1" w:rsidRDefault="00A54EE1" w:rsidP="00371AFF">
      <w:pPr>
        <w:spacing w:after="0"/>
        <w:jc w:val="center"/>
        <w:rPr>
          <w:rFonts w:ascii="Times New Roman" w:hAnsi="Times New Roman" w:cs="Times New Roman"/>
          <w:b/>
          <w:bCs/>
        </w:rPr>
      </w:pPr>
    </w:p>
    <w:p w:rsidR="00371AFF" w:rsidRPr="00FC0A9E" w:rsidRDefault="00371AFF" w:rsidP="00371AFF">
      <w:pPr>
        <w:spacing w:after="0"/>
        <w:jc w:val="both"/>
        <w:rPr>
          <w:rFonts w:ascii="Times New Roman" w:hAnsi="Times New Roman" w:cs="Times New Roman"/>
          <w:b/>
          <w:bCs/>
        </w:rPr>
      </w:pPr>
      <w:r w:rsidRPr="00FC0A9E">
        <w:rPr>
          <w:rFonts w:ascii="Times New Roman" w:hAnsi="Times New Roman" w:cs="Times New Roman"/>
          <w:b/>
          <w:bCs/>
        </w:rPr>
        <w:lastRenderedPageBreak/>
        <w:t>САДРЖАЈ</w:t>
      </w:r>
    </w:p>
    <w:p w:rsidR="00371AFF" w:rsidRPr="00FC0A9E" w:rsidRDefault="00371AFF" w:rsidP="00371AFF">
      <w:pPr>
        <w:spacing w:after="0"/>
        <w:jc w:val="both"/>
        <w:rPr>
          <w:rFonts w:ascii="Times New Roman" w:hAnsi="Times New Roman" w:cs="Times New Roman"/>
          <w:b/>
          <w:bCs/>
        </w:rPr>
      </w:pPr>
    </w:p>
    <w:p w:rsidR="00371AFF" w:rsidRPr="00FC0A9E" w:rsidRDefault="00371AFF" w:rsidP="00371AFF">
      <w:pPr>
        <w:spacing w:after="0"/>
        <w:jc w:val="both"/>
        <w:rPr>
          <w:rFonts w:ascii="Times New Roman" w:hAnsi="Times New Roman" w:cs="Times New Roman"/>
          <w:b/>
          <w:bCs/>
        </w:rPr>
      </w:pPr>
      <w:r w:rsidRPr="00FC0A9E">
        <w:rPr>
          <w:rFonts w:ascii="Times New Roman" w:hAnsi="Times New Roman" w:cs="Times New Roman"/>
          <w:b/>
          <w:bCs/>
        </w:rPr>
        <w:t>1.      Увод    ..................................................................................................................................................3</w:t>
      </w:r>
    </w:p>
    <w:p w:rsidR="00A54EE1" w:rsidRDefault="00371AFF" w:rsidP="00A54EE1">
      <w:pPr>
        <w:spacing w:after="0"/>
        <w:jc w:val="both"/>
        <w:rPr>
          <w:rFonts w:ascii="Times New Roman" w:hAnsi="Times New Roman" w:cs="Times New Roman"/>
          <w:b/>
          <w:bCs/>
        </w:rPr>
      </w:pPr>
      <w:r w:rsidRPr="00FC0A9E">
        <w:rPr>
          <w:rFonts w:ascii="Times New Roman" w:hAnsi="Times New Roman" w:cs="Times New Roman"/>
          <w:b/>
          <w:bCs/>
        </w:rPr>
        <w:t xml:space="preserve">2.      </w:t>
      </w:r>
      <w:r w:rsidR="00A54EE1">
        <w:rPr>
          <w:rFonts w:ascii="Times New Roman" w:hAnsi="Times New Roman" w:cs="Times New Roman"/>
          <w:b/>
          <w:bCs/>
        </w:rPr>
        <w:t>Анализа потреба за обуком о додатним образовањем свих службеника и утврђивање</w:t>
      </w:r>
    </w:p>
    <w:p w:rsidR="00371AFF" w:rsidRDefault="00A54EE1" w:rsidP="00A54EE1">
      <w:pPr>
        <w:spacing w:after="0"/>
        <w:jc w:val="both"/>
        <w:rPr>
          <w:rFonts w:ascii="Times New Roman" w:hAnsi="Times New Roman" w:cs="Times New Roman"/>
          <w:b/>
          <w:bCs/>
        </w:rPr>
      </w:pPr>
      <w:r>
        <w:rPr>
          <w:rFonts w:ascii="Times New Roman" w:hAnsi="Times New Roman" w:cs="Times New Roman"/>
          <w:b/>
          <w:bCs/>
        </w:rPr>
        <w:t xml:space="preserve">         циљева обука   .</w:t>
      </w:r>
      <w:r w:rsidR="00371AFF" w:rsidRPr="00FC0A9E">
        <w:rPr>
          <w:rFonts w:ascii="Times New Roman" w:hAnsi="Times New Roman" w:cs="Times New Roman"/>
          <w:b/>
          <w:bCs/>
        </w:rPr>
        <w:t>....</w:t>
      </w:r>
      <w:r>
        <w:rPr>
          <w:rFonts w:ascii="Times New Roman" w:hAnsi="Times New Roman" w:cs="Times New Roman"/>
          <w:b/>
          <w:bCs/>
        </w:rPr>
        <w:t>....................................................................................................................</w:t>
      </w:r>
      <w:r w:rsidRPr="00FC0A9E">
        <w:rPr>
          <w:rFonts w:ascii="Times New Roman" w:hAnsi="Times New Roman" w:cs="Times New Roman"/>
          <w:b/>
          <w:bCs/>
        </w:rPr>
        <w:t>.</w:t>
      </w:r>
      <w:r>
        <w:rPr>
          <w:rFonts w:ascii="Times New Roman" w:hAnsi="Times New Roman" w:cs="Times New Roman"/>
          <w:b/>
          <w:bCs/>
        </w:rPr>
        <w:t>.</w:t>
      </w:r>
      <w:r w:rsidRPr="00FC0A9E">
        <w:rPr>
          <w:rFonts w:ascii="Times New Roman" w:hAnsi="Times New Roman" w:cs="Times New Roman"/>
          <w:b/>
          <w:bCs/>
        </w:rPr>
        <w:t>......</w:t>
      </w:r>
      <w:r w:rsidR="00371AFF" w:rsidRPr="00FC0A9E">
        <w:rPr>
          <w:rFonts w:ascii="Times New Roman" w:hAnsi="Times New Roman" w:cs="Times New Roman"/>
          <w:b/>
          <w:bCs/>
        </w:rPr>
        <w:t>..3</w:t>
      </w:r>
    </w:p>
    <w:p w:rsidR="00A54EE1" w:rsidRDefault="00A54EE1" w:rsidP="00A54EE1">
      <w:pPr>
        <w:spacing w:after="0"/>
        <w:jc w:val="both"/>
        <w:rPr>
          <w:rFonts w:ascii="Times New Roman" w:hAnsi="Times New Roman" w:cs="Times New Roman"/>
          <w:b/>
          <w:bCs/>
        </w:rPr>
      </w:pPr>
      <w:r>
        <w:rPr>
          <w:rFonts w:ascii="Times New Roman" w:hAnsi="Times New Roman" w:cs="Times New Roman"/>
          <w:b/>
          <w:bCs/>
        </w:rPr>
        <w:t xml:space="preserve">         2.1. Поступак спровођења анализе подтреба стручним усавршавањем   .............................3</w:t>
      </w:r>
      <w:r>
        <w:rPr>
          <w:rFonts w:ascii="Times New Roman" w:hAnsi="Times New Roman" w:cs="Times New Roman"/>
          <w:b/>
          <w:bCs/>
        </w:rPr>
        <w:tab/>
      </w:r>
    </w:p>
    <w:p w:rsidR="00371AFF" w:rsidRPr="00551739" w:rsidRDefault="00371AFF" w:rsidP="00371AFF">
      <w:pPr>
        <w:spacing w:after="0"/>
        <w:jc w:val="both"/>
        <w:rPr>
          <w:rFonts w:ascii="Times New Roman" w:hAnsi="Times New Roman" w:cs="Times New Roman"/>
          <w:b/>
          <w:bCs/>
        </w:rPr>
      </w:pPr>
      <w:r w:rsidRPr="00FC0A9E">
        <w:rPr>
          <w:rFonts w:ascii="Times New Roman" w:hAnsi="Times New Roman" w:cs="Times New Roman"/>
          <w:b/>
          <w:bCs/>
        </w:rPr>
        <w:t xml:space="preserve">3.      </w:t>
      </w:r>
      <w:r w:rsidR="00A54EE1">
        <w:rPr>
          <w:rFonts w:ascii="Times New Roman" w:hAnsi="Times New Roman" w:cs="Times New Roman"/>
          <w:b/>
          <w:bCs/>
        </w:rPr>
        <w:t>Изабрани општи програми стручног усавршавања</w:t>
      </w:r>
      <w:r w:rsidR="008604A7">
        <w:rPr>
          <w:rFonts w:ascii="Times New Roman" w:hAnsi="Times New Roman" w:cs="Times New Roman"/>
          <w:b/>
          <w:bCs/>
        </w:rPr>
        <w:t xml:space="preserve">   .....</w:t>
      </w:r>
      <w:r w:rsidRPr="00FC0A9E">
        <w:rPr>
          <w:rFonts w:ascii="Times New Roman" w:hAnsi="Times New Roman" w:cs="Times New Roman"/>
          <w:b/>
          <w:bCs/>
        </w:rPr>
        <w:t>..................</w:t>
      </w:r>
      <w:r w:rsidR="00A54EE1">
        <w:rPr>
          <w:rFonts w:ascii="Times New Roman" w:hAnsi="Times New Roman" w:cs="Times New Roman"/>
          <w:b/>
          <w:bCs/>
        </w:rPr>
        <w:t>.................</w:t>
      </w:r>
      <w:r w:rsidRPr="00FC0A9E">
        <w:rPr>
          <w:rFonts w:ascii="Times New Roman" w:hAnsi="Times New Roman" w:cs="Times New Roman"/>
          <w:b/>
          <w:bCs/>
        </w:rPr>
        <w:t>.......................</w:t>
      </w:r>
      <w:r w:rsidR="00551739">
        <w:rPr>
          <w:rFonts w:ascii="Times New Roman" w:hAnsi="Times New Roman" w:cs="Times New Roman"/>
          <w:b/>
          <w:bCs/>
        </w:rPr>
        <w:t>4</w:t>
      </w:r>
    </w:p>
    <w:p w:rsidR="008604A7" w:rsidRDefault="00371AFF" w:rsidP="00371AFF">
      <w:pPr>
        <w:spacing w:after="0"/>
        <w:jc w:val="both"/>
        <w:rPr>
          <w:rFonts w:ascii="Times New Roman" w:hAnsi="Times New Roman" w:cs="Times New Roman"/>
          <w:b/>
          <w:bCs/>
        </w:rPr>
      </w:pPr>
      <w:r w:rsidRPr="00FC0A9E">
        <w:rPr>
          <w:rFonts w:ascii="Times New Roman" w:hAnsi="Times New Roman" w:cs="Times New Roman"/>
          <w:b/>
          <w:bCs/>
        </w:rPr>
        <w:t xml:space="preserve">4.      </w:t>
      </w:r>
      <w:r w:rsidR="00A54EE1">
        <w:rPr>
          <w:rFonts w:ascii="Times New Roman" w:hAnsi="Times New Roman" w:cs="Times New Roman"/>
          <w:b/>
          <w:bCs/>
        </w:rPr>
        <w:t xml:space="preserve">Изабрани посебни програми стручног усавршавања   </w:t>
      </w:r>
      <w:r w:rsidRPr="00FC0A9E">
        <w:rPr>
          <w:rFonts w:ascii="Times New Roman" w:hAnsi="Times New Roman" w:cs="Times New Roman"/>
          <w:b/>
          <w:bCs/>
        </w:rPr>
        <w:t>..</w:t>
      </w:r>
      <w:r w:rsidR="00A54EE1">
        <w:rPr>
          <w:rFonts w:ascii="Times New Roman" w:hAnsi="Times New Roman" w:cs="Times New Roman"/>
          <w:b/>
          <w:bCs/>
        </w:rPr>
        <w:t>.</w:t>
      </w:r>
      <w:r w:rsidRPr="00FC0A9E">
        <w:rPr>
          <w:rFonts w:ascii="Times New Roman" w:hAnsi="Times New Roman" w:cs="Times New Roman"/>
          <w:b/>
          <w:bCs/>
        </w:rPr>
        <w:t xml:space="preserve">..........................................................4 </w:t>
      </w:r>
    </w:p>
    <w:p w:rsidR="00A54EE1" w:rsidRDefault="008604A7" w:rsidP="00371AFF">
      <w:pPr>
        <w:spacing w:after="0"/>
        <w:jc w:val="both"/>
        <w:rPr>
          <w:rFonts w:ascii="Times New Roman" w:hAnsi="Times New Roman" w:cs="Times New Roman"/>
          <w:b/>
          <w:bCs/>
        </w:rPr>
      </w:pPr>
      <w:r>
        <w:rPr>
          <w:rFonts w:ascii="Times New Roman" w:hAnsi="Times New Roman" w:cs="Times New Roman"/>
          <w:b/>
          <w:bCs/>
        </w:rPr>
        <w:t xml:space="preserve">5.      </w:t>
      </w:r>
      <w:r w:rsidR="00A54EE1">
        <w:rPr>
          <w:rFonts w:ascii="Times New Roman" w:hAnsi="Times New Roman" w:cs="Times New Roman"/>
          <w:b/>
          <w:bCs/>
        </w:rPr>
        <w:t>Поступак припреме Обједињеног годишњег плана стручног усавршавања</w:t>
      </w:r>
      <w:r w:rsidRPr="00FC0A9E">
        <w:rPr>
          <w:rFonts w:ascii="Times New Roman" w:hAnsi="Times New Roman" w:cs="Times New Roman"/>
          <w:b/>
          <w:bCs/>
        </w:rPr>
        <w:t xml:space="preserve">   </w:t>
      </w:r>
      <w:r w:rsidR="00A54EE1">
        <w:rPr>
          <w:rFonts w:ascii="Times New Roman" w:hAnsi="Times New Roman" w:cs="Times New Roman"/>
          <w:b/>
          <w:bCs/>
        </w:rPr>
        <w:t>.......</w:t>
      </w:r>
      <w:r>
        <w:rPr>
          <w:rFonts w:ascii="Times New Roman" w:hAnsi="Times New Roman" w:cs="Times New Roman"/>
          <w:b/>
          <w:bCs/>
        </w:rPr>
        <w:t>..............</w:t>
      </w:r>
      <w:r w:rsidR="00A158B1">
        <w:rPr>
          <w:rFonts w:ascii="Times New Roman" w:hAnsi="Times New Roman" w:cs="Times New Roman"/>
          <w:b/>
          <w:bCs/>
        </w:rPr>
        <w:t>5</w:t>
      </w:r>
    </w:p>
    <w:p w:rsidR="00A54EE1" w:rsidRDefault="00A54EE1" w:rsidP="00371AFF">
      <w:pPr>
        <w:spacing w:after="0"/>
        <w:jc w:val="both"/>
        <w:rPr>
          <w:rFonts w:ascii="Times New Roman" w:hAnsi="Times New Roman" w:cs="Times New Roman"/>
          <w:b/>
          <w:bCs/>
        </w:rPr>
      </w:pPr>
      <w:r>
        <w:rPr>
          <w:rFonts w:ascii="Times New Roman" w:hAnsi="Times New Roman" w:cs="Times New Roman"/>
          <w:b/>
          <w:bCs/>
        </w:rPr>
        <w:t xml:space="preserve">         5.1. Планирање и програмирање посебних програма стручног усавршавања</w:t>
      </w:r>
      <w:r w:rsidRPr="00FC0A9E">
        <w:rPr>
          <w:rFonts w:ascii="Times New Roman" w:hAnsi="Times New Roman" w:cs="Times New Roman"/>
          <w:b/>
          <w:bCs/>
        </w:rPr>
        <w:t xml:space="preserve">   </w:t>
      </w:r>
      <w:r>
        <w:rPr>
          <w:rFonts w:ascii="Times New Roman" w:hAnsi="Times New Roman" w:cs="Times New Roman"/>
          <w:b/>
          <w:bCs/>
        </w:rPr>
        <w:t>.................5</w:t>
      </w:r>
    </w:p>
    <w:p w:rsidR="00371AFF" w:rsidRPr="00FC0A9E" w:rsidRDefault="000C7D02" w:rsidP="00371AFF">
      <w:pPr>
        <w:spacing w:after="0"/>
        <w:jc w:val="both"/>
        <w:rPr>
          <w:rFonts w:ascii="Times New Roman" w:hAnsi="Times New Roman" w:cs="Times New Roman"/>
          <w:b/>
          <w:bCs/>
        </w:rPr>
      </w:pPr>
      <w:r>
        <w:rPr>
          <w:rFonts w:ascii="Times New Roman" w:hAnsi="Times New Roman" w:cs="Times New Roman"/>
          <w:b/>
          <w:bCs/>
        </w:rPr>
        <w:t xml:space="preserve">         </w:t>
      </w:r>
      <w:r w:rsidR="00A54EE1">
        <w:rPr>
          <w:rFonts w:ascii="Times New Roman" w:hAnsi="Times New Roman" w:cs="Times New Roman"/>
          <w:b/>
          <w:bCs/>
        </w:rPr>
        <w:t>5.2. Садржина Обједињеног годишњег плана</w:t>
      </w:r>
      <w:r w:rsidR="00A54EE1" w:rsidRPr="00FC0A9E">
        <w:rPr>
          <w:rFonts w:ascii="Times New Roman" w:hAnsi="Times New Roman" w:cs="Times New Roman"/>
          <w:b/>
          <w:bCs/>
        </w:rPr>
        <w:t xml:space="preserve">   </w:t>
      </w:r>
      <w:r w:rsidR="00A54EE1">
        <w:rPr>
          <w:rFonts w:ascii="Times New Roman" w:hAnsi="Times New Roman" w:cs="Times New Roman"/>
          <w:b/>
          <w:bCs/>
        </w:rPr>
        <w:t>...............</w:t>
      </w:r>
      <w:r>
        <w:rPr>
          <w:rFonts w:ascii="Times New Roman" w:hAnsi="Times New Roman" w:cs="Times New Roman"/>
          <w:b/>
          <w:bCs/>
        </w:rPr>
        <w:t>.........</w:t>
      </w:r>
      <w:r w:rsidR="00A54EE1">
        <w:rPr>
          <w:rFonts w:ascii="Times New Roman" w:hAnsi="Times New Roman" w:cs="Times New Roman"/>
          <w:b/>
          <w:bCs/>
        </w:rPr>
        <w:t>..........</w:t>
      </w:r>
      <w:r>
        <w:rPr>
          <w:rFonts w:ascii="Times New Roman" w:hAnsi="Times New Roman" w:cs="Times New Roman"/>
          <w:b/>
          <w:bCs/>
        </w:rPr>
        <w:t>........................................6</w:t>
      </w:r>
      <w:r w:rsidR="00A54EE1">
        <w:rPr>
          <w:rFonts w:ascii="Times New Roman" w:hAnsi="Times New Roman" w:cs="Times New Roman"/>
          <w:b/>
          <w:bCs/>
        </w:rPr>
        <w:t xml:space="preserve">  </w:t>
      </w:r>
      <w:r w:rsidR="00371AFF" w:rsidRPr="00FC0A9E">
        <w:rPr>
          <w:rFonts w:ascii="Times New Roman" w:hAnsi="Times New Roman" w:cs="Times New Roman"/>
          <w:b/>
          <w:bCs/>
        </w:rPr>
        <w:t xml:space="preserve"> </w:t>
      </w:r>
    </w:p>
    <w:p w:rsidR="0058268C" w:rsidRPr="000C7D02" w:rsidRDefault="0058268C" w:rsidP="00371AFF">
      <w:pPr>
        <w:spacing w:after="0"/>
        <w:ind w:left="720" w:hanging="720"/>
        <w:jc w:val="both"/>
        <w:rPr>
          <w:rFonts w:ascii="Times New Roman" w:hAnsi="Times New Roman" w:cs="Times New Roman"/>
          <w:b/>
          <w:bCs/>
        </w:rPr>
      </w:pPr>
      <w:r w:rsidRPr="00FC0A9E">
        <w:rPr>
          <w:rFonts w:ascii="Times New Roman" w:hAnsi="Times New Roman" w:cs="Times New Roman"/>
          <w:b/>
          <w:bCs/>
        </w:rPr>
        <w:t xml:space="preserve">6.     </w:t>
      </w:r>
      <w:r w:rsidR="008604A7">
        <w:rPr>
          <w:rFonts w:ascii="Times New Roman" w:hAnsi="Times New Roman" w:cs="Times New Roman"/>
          <w:b/>
          <w:bCs/>
        </w:rPr>
        <w:t xml:space="preserve"> </w:t>
      </w:r>
      <w:r w:rsidR="000C7D02">
        <w:rPr>
          <w:rFonts w:ascii="Times New Roman" w:hAnsi="Times New Roman" w:cs="Times New Roman"/>
          <w:b/>
          <w:bCs/>
        </w:rPr>
        <w:t>Усклађивање годишњег плана стручног усавршавања са буџетом</w:t>
      </w:r>
      <w:r w:rsidR="008604A7" w:rsidRPr="00FC0A9E">
        <w:rPr>
          <w:rFonts w:ascii="Times New Roman" w:hAnsi="Times New Roman" w:cs="Times New Roman"/>
          <w:b/>
          <w:bCs/>
        </w:rPr>
        <w:t xml:space="preserve">   </w:t>
      </w:r>
      <w:r w:rsidR="000C7D02">
        <w:rPr>
          <w:rFonts w:ascii="Times New Roman" w:hAnsi="Times New Roman" w:cs="Times New Roman"/>
          <w:b/>
          <w:bCs/>
        </w:rPr>
        <w:t xml:space="preserve">  ....................</w:t>
      </w:r>
      <w:r w:rsidRPr="00FC0A9E">
        <w:rPr>
          <w:rFonts w:ascii="Times New Roman" w:hAnsi="Times New Roman" w:cs="Times New Roman"/>
          <w:b/>
          <w:bCs/>
        </w:rPr>
        <w:t>..............</w:t>
      </w:r>
      <w:r w:rsidR="00551739">
        <w:rPr>
          <w:rFonts w:ascii="Times New Roman" w:hAnsi="Times New Roman" w:cs="Times New Roman"/>
          <w:b/>
          <w:bCs/>
        </w:rPr>
        <w:t>5</w:t>
      </w:r>
    </w:p>
    <w:p w:rsidR="008604A7" w:rsidRPr="000C7D02" w:rsidRDefault="008604A7" w:rsidP="00371AFF">
      <w:pPr>
        <w:spacing w:after="0"/>
        <w:ind w:left="720" w:hanging="720"/>
        <w:jc w:val="both"/>
        <w:rPr>
          <w:rFonts w:ascii="Times New Roman" w:hAnsi="Times New Roman" w:cs="Times New Roman"/>
          <w:b/>
          <w:bCs/>
        </w:rPr>
      </w:pPr>
      <w:r>
        <w:rPr>
          <w:rFonts w:ascii="Times New Roman" w:hAnsi="Times New Roman" w:cs="Times New Roman"/>
          <w:b/>
          <w:bCs/>
        </w:rPr>
        <w:t xml:space="preserve">7.      </w:t>
      </w:r>
      <w:r w:rsidR="000C7D02">
        <w:rPr>
          <w:rFonts w:ascii="Times New Roman" w:hAnsi="Times New Roman" w:cs="Times New Roman"/>
          <w:b/>
          <w:bCs/>
        </w:rPr>
        <w:t>Избор пружалаца услуга и спровођење обуке</w:t>
      </w:r>
      <w:r w:rsidRPr="00FC0A9E">
        <w:rPr>
          <w:rFonts w:ascii="Times New Roman" w:hAnsi="Times New Roman" w:cs="Times New Roman"/>
          <w:b/>
          <w:bCs/>
        </w:rPr>
        <w:t xml:space="preserve">   </w:t>
      </w:r>
      <w:r w:rsidR="000C7D02">
        <w:rPr>
          <w:rFonts w:ascii="Times New Roman" w:hAnsi="Times New Roman" w:cs="Times New Roman"/>
          <w:b/>
          <w:bCs/>
        </w:rPr>
        <w:t>.................................</w:t>
      </w:r>
      <w:r>
        <w:rPr>
          <w:rFonts w:ascii="Times New Roman" w:hAnsi="Times New Roman" w:cs="Times New Roman"/>
          <w:b/>
          <w:bCs/>
        </w:rPr>
        <w:t>.........................................</w:t>
      </w:r>
      <w:r w:rsidR="00551739">
        <w:rPr>
          <w:rFonts w:ascii="Times New Roman" w:hAnsi="Times New Roman" w:cs="Times New Roman"/>
          <w:b/>
          <w:bCs/>
        </w:rPr>
        <w:t>6</w:t>
      </w:r>
    </w:p>
    <w:p w:rsidR="008604A7" w:rsidRPr="000C7D02" w:rsidRDefault="008604A7" w:rsidP="00371AFF">
      <w:pPr>
        <w:spacing w:after="0"/>
        <w:ind w:left="720" w:hanging="720"/>
        <w:jc w:val="both"/>
        <w:rPr>
          <w:rFonts w:ascii="Times New Roman" w:hAnsi="Times New Roman" w:cs="Times New Roman"/>
          <w:b/>
          <w:bCs/>
        </w:rPr>
      </w:pPr>
      <w:r>
        <w:rPr>
          <w:rFonts w:ascii="Times New Roman" w:hAnsi="Times New Roman" w:cs="Times New Roman"/>
          <w:b/>
          <w:bCs/>
        </w:rPr>
        <w:t xml:space="preserve">8.      </w:t>
      </w:r>
      <w:r w:rsidR="000C7D02">
        <w:rPr>
          <w:rFonts w:ascii="Times New Roman" w:hAnsi="Times New Roman" w:cs="Times New Roman"/>
          <w:b/>
          <w:bCs/>
        </w:rPr>
        <w:t>Процена резултата и ефеката стручног усавршавања</w:t>
      </w:r>
      <w:r w:rsidRPr="00FC0A9E">
        <w:rPr>
          <w:rFonts w:ascii="Times New Roman" w:hAnsi="Times New Roman" w:cs="Times New Roman"/>
          <w:b/>
          <w:bCs/>
        </w:rPr>
        <w:t xml:space="preserve">   </w:t>
      </w:r>
      <w:r w:rsidR="000C7D02">
        <w:rPr>
          <w:rFonts w:ascii="Times New Roman" w:hAnsi="Times New Roman" w:cs="Times New Roman"/>
          <w:b/>
          <w:bCs/>
        </w:rPr>
        <w:t>.........................</w:t>
      </w:r>
      <w:r>
        <w:rPr>
          <w:rFonts w:ascii="Times New Roman" w:hAnsi="Times New Roman" w:cs="Times New Roman"/>
          <w:b/>
          <w:bCs/>
        </w:rPr>
        <w:t>..................................</w:t>
      </w:r>
      <w:r w:rsidR="00551739">
        <w:rPr>
          <w:rFonts w:ascii="Times New Roman" w:hAnsi="Times New Roman" w:cs="Times New Roman"/>
          <w:b/>
          <w:bCs/>
        </w:rPr>
        <w:t>6</w:t>
      </w:r>
    </w:p>
    <w:p w:rsidR="008604A7" w:rsidRPr="00A54EE1" w:rsidRDefault="00A0056A" w:rsidP="00371AFF">
      <w:pPr>
        <w:spacing w:after="0"/>
        <w:ind w:left="720" w:hanging="720"/>
        <w:jc w:val="both"/>
        <w:rPr>
          <w:rFonts w:ascii="Times New Roman" w:hAnsi="Times New Roman" w:cs="Times New Roman"/>
          <w:b/>
          <w:bCs/>
        </w:rPr>
      </w:pPr>
      <w:r>
        <w:rPr>
          <w:rFonts w:ascii="Times New Roman" w:hAnsi="Times New Roman" w:cs="Times New Roman"/>
          <w:b/>
          <w:bCs/>
        </w:rPr>
        <w:t xml:space="preserve">         </w:t>
      </w:r>
      <w:r w:rsidR="00A54EE1">
        <w:rPr>
          <w:rFonts w:ascii="Times New Roman" w:hAnsi="Times New Roman" w:cs="Times New Roman"/>
          <w:b/>
          <w:bCs/>
        </w:rPr>
        <w:t>Прилог 1: Модел Обједињеног годишњег плана стручног усавршавања</w:t>
      </w:r>
      <w:r w:rsidR="00A54EE1" w:rsidRPr="00FC0A9E">
        <w:rPr>
          <w:rFonts w:ascii="Times New Roman" w:hAnsi="Times New Roman" w:cs="Times New Roman"/>
          <w:b/>
          <w:bCs/>
        </w:rPr>
        <w:t xml:space="preserve">   </w:t>
      </w:r>
      <w:r w:rsidR="00A54EE1">
        <w:rPr>
          <w:rFonts w:ascii="Times New Roman" w:hAnsi="Times New Roman" w:cs="Times New Roman"/>
          <w:b/>
          <w:bCs/>
        </w:rPr>
        <w:t>...</w:t>
      </w:r>
      <w:r>
        <w:rPr>
          <w:rFonts w:ascii="Times New Roman" w:hAnsi="Times New Roman" w:cs="Times New Roman"/>
          <w:b/>
          <w:bCs/>
        </w:rPr>
        <w:t>.......................</w:t>
      </w:r>
      <w:r w:rsidR="00551739">
        <w:rPr>
          <w:rFonts w:ascii="Times New Roman" w:hAnsi="Times New Roman" w:cs="Times New Roman"/>
          <w:b/>
          <w:bCs/>
        </w:rPr>
        <w:t>7</w:t>
      </w:r>
    </w:p>
    <w:p w:rsidR="00371AFF" w:rsidRPr="00FC0A9E" w:rsidRDefault="00371AFF" w:rsidP="00371AFF">
      <w:pPr>
        <w:spacing w:after="0"/>
        <w:ind w:left="720" w:hanging="720"/>
        <w:jc w:val="both"/>
        <w:rPr>
          <w:rFonts w:ascii="Times New Roman" w:hAnsi="Times New Roman" w:cs="Times New Roman"/>
          <w:b/>
        </w:rPr>
      </w:pPr>
      <w:r w:rsidRPr="00FC0A9E">
        <w:rPr>
          <w:rFonts w:ascii="Times New Roman" w:hAnsi="Times New Roman" w:cs="Times New Roman"/>
          <w:b/>
          <w:bCs/>
        </w:rPr>
        <w:tab/>
      </w:r>
    </w:p>
    <w:p w:rsidR="00371AFF" w:rsidRPr="00FC0A9E" w:rsidRDefault="00371AFF" w:rsidP="00371AFF">
      <w:pPr>
        <w:spacing w:after="0"/>
        <w:ind w:left="720"/>
        <w:jc w:val="both"/>
        <w:rPr>
          <w:rFonts w:ascii="Times New Roman" w:hAnsi="Times New Roman" w:cs="Times New Roman"/>
          <w:b/>
        </w:rPr>
      </w:pPr>
    </w:p>
    <w:p w:rsidR="00371AFF" w:rsidRPr="00FC0A9E" w:rsidRDefault="00371AFF" w:rsidP="00371AFF">
      <w:pPr>
        <w:spacing w:after="0"/>
        <w:ind w:left="720"/>
        <w:jc w:val="both"/>
        <w:rPr>
          <w:rFonts w:ascii="Times New Roman" w:hAnsi="Times New Roman" w:cs="Times New Roman"/>
          <w:b/>
        </w:rPr>
      </w:pPr>
    </w:p>
    <w:p w:rsidR="00371AFF" w:rsidRPr="00FC0A9E" w:rsidRDefault="00371AFF" w:rsidP="00371AFF">
      <w:pPr>
        <w:spacing w:after="0"/>
        <w:ind w:left="720"/>
        <w:jc w:val="both"/>
        <w:rPr>
          <w:rFonts w:ascii="Times New Roman" w:hAnsi="Times New Roman" w:cs="Times New Roman"/>
          <w:b/>
        </w:rPr>
      </w:pPr>
    </w:p>
    <w:p w:rsidR="00371AFF" w:rsidRPr="00FC0A9E" w:rsidRDefault="00371AFF" w:rsidP="00371AFF">
      <w:pPr>
        <w:spacing w:after="0"/>
        <w:ind w:left="720"/>
        <w:jc w:val="both"/>
        <w:rPr>
          <w:rFonts w:ascii="Times New Roman" w:hAnsi="Times New Roman" w:cs="Times New Roman"/>
          <w:b/>
        </w:rPr>
      </w:pPr>
    </w:p>
    <w:p w:rsidR="004854B1" w:rsidRPr="00FC0A9E" w:rsidRDefault="004854B1">
      <w:pPr>
        <w:rPr>
          <w:rFonts w:ascii="Times New Roman" w:hAnsi="Times New Roman" w:cs="Times New Roman"/>
        </w:rPr>
      </w:pPr>
    </w:p>
    <w:p w:rsidR="0058268C" w:rsidRPr="00FC0A9E" w:rsidRDefault="0058268C">
      <w:pPr>
        <w:rPr>
          <w:rFonts w:ascii="Times New Roman" w:hAnsi="Times New Roman" w:cs="Times New Roman"/>
        </w:rPr>
      </w:pPr>
    </w:p>
    <w:p w:rsidR="0058268C" w:rsidRPr="00FC0A9E" w:rsidRDefault="0058268C">
      <w:pPr>
        <w:rPr>
          <w:rFonts w:ascii="Times New Roman" w:hAnsi="Times New Roman" w:cs="Times New Roman"/>
        </w:rPr>
      </w:pPr>
    </w:p>
    <w:p w:rsidR="0058268C" w:rsidRPr="00FC0A9E" w:rsidRDefault="0058268C">
      <w:pPr>
        <w:rPr>
          <w:rFonts w:ascii="Times New Roman" w:hAnsi="Times New Roman" w:cs="Times New Roman"/>
        </w:rPr>
      </w:pPr>
    </w:p>
    <w:p w:rsidR="0058268C" w:rsidRPr="00FC0A9E" w:rsidRDefault="0058268C">
      <w:pPr>
        <w:rPr>
          <w:rFonts w:ascii="Times New Roman" w:hAnsi="Times New Roman" w:cs="Times New Roman"/>
        </w:rPr>
      </w:pPr>
    </w:p>
    <w:p w:rsidR="0058268C" w:rsidRPr="00FC0A9E" w:rsidRDefault="0058268C">
      <w:pPr>
        <w:rPr>
          <w:rFonts w:ascii="Times New Roman" w:hAnsi="Times New Roman" w:cs="Times New Roman"/>
        </w:rPr>
      </w:pPr>
    </w:p>
    <w:p w:rsidR="0058268C" w:rsidRPr="00FC0A9E" w:rsidRDefault="0058268C">
      <w:pPr>
        <w:rPr>
          <w:rFonts w:ascii="Times New Roman" w:hAnsi="Times New Roman" w:cs="Times New Roman"/>
        </w:rPr>
      </w:pPr>
    </w:p>
    <w:p w:rsidR="0058268C" w:rsidRPr="00FC0A9E" w:rsidRDefault="0058268C">
      <w:pPr>
        <w:rPr>
          <w:rFonts w:ascii="Times New Roman" w:hAnsi="Times New Roman" w:cs="Times New Roman"/>
        </w:rPr>
      </w:pPr>
    </w:p>
    <w:p w:rsidR="0058268C" w:rsidRPr="00FC0A9E" w:rsidRDefault="0058268C">
      <w:pPr>
        <w:rPr>
          <w:rFonts w:ascii="Times New Roman" w:hAnsi="Times New Roman" w:cs="Times New Roman"/>
        </w:rPr>
      </w:pPr>
    </w:p>
    <w:p w:rsidR="0058268C" w:rsidRPr="00FC0A9E" w:rsidRDefault="0058268C">
      <w:pPr>
        <w:rPr>
          <w:rFonts w:ascii="Times New Roman" w:hAnsi="Times New Roman" w:cs="Times New Roman"/>
        </w:rPr>
      </w:pPr>
    </w:p>
    <w:p w:rsidR="0058268C" w:rsidRPr="00FC0A9E" w:rsidRDefault="0058268C">
      <w:pPr>
        <w:rPr>
          <w:rFonts w:ascii="Times New Roman" w:hAnsi="Times New Roman" w:cs="Times New Roman"/>
        </w:rPr>
      </w:pPr>
    </w:p>
    <w:p w:rsidR="0058268C" w:rsidRDefault="0058268C">
      <w:pPr>
        <w:rPr>
          <w:rFonts w:ascii="Times New Roman" w:hAnsi="Times New Roman" w:cs="Times New Roman"/>
        </w:rPr>
      </w:pPr>
    </w:p>
    <w:p w:rsidR="00736D37" w:rsidRDefault="00736D37">
      <w:pPr>
        <w:rPr>
          <w:rFonts w:ascii="Times New Roman" w:hAnsi="Times New Roman" w:cs="Times New Roman"/>
        </w:rPr>
      </w:pPr>
    </w:p>
    <w:p w:rsidR="00736D37" w:rsidRDefault="00736D37">
      <w:pPr>
        <w:rPr>
          <w:rFonts w:ascii="Times New Roman" w:hAnsi="Times New Roman" w:cs="Times New Roman"/>
        </w:rPr>
      </w:pPr>
    </w:p>
    <w:p w:rsidR="00A0056A" w:rsidRDefault="00A0056A">
      <w:pPr>
        <w:rPr>
          <w:rFonts w:ascii="Times New Roman" w:hAnsi="Times New Roman" w:cs="Times New Roman"/>
        </w:rPr>
      </w:pPr>
    </w:p>
    <w:p w:rsidR="00A0056A" w:rsidRPr="00A0056A" w:rsidRDefault="00A0056A">
      <w:pPr>
        <w:rPr>
          <w:rFonts w:ascii="Times New Roman" w:hAnsi="Times New Roman" w:cs="Times New Roman"/>
        </w:rPr>
      </w:pPr>
    </w:p>
    <w:p w:rsidR="0058268C" w:rsidRDefault="0058268C">
      <w:pPr>
        <w:rPr>
          <w:rFonts w:ascii="Times New Roman" w:hAnsi="Times New Roman" w:cs="Times New Roman"/>
        </w:rPr>
      </w:pPr>
    </w:p>
    <w:p w:rsidR="0058268C" w:rsidRPr="00FC0A9E" w:rsidRDefault="0058268C">
      <w:pPr>
        <w:rPr>
          <w:rFonts w:ascii="Times New Roman" w:hAnsi="Times New Roman" w:cs="Times New Roman"/>
          <w:b/>
        </w:rPr>
      </w:pPr>
      <w:r w:rsidRPr="00FC0A9E">
        <w:rPr>
          <w:rFonts w:ascii="Times New Roman" w:hAnsi="Times New Roman" w:cs="Times New Roman"/>
        </w:rPr>
        <w:lastRenderedPageBreak/>
        <w:tab/>
      </w:r>
      <w:r w:rsidRPr="00FC0A9E">
        <w:rPr>
          <w:rFonts w:ascii="Times New Roman" w:hAnsi="Times New Roman" w:cs="Times New Roman"/>
          <w:b/>
        </w:rPr>
        <w:t>1. Увод</w:t>
      </w:r>
    </w:p>
    <w:p w:rsidR="0057798D" w:rsidRDefault="0058268C" w:rsidP="000C7D02">
      <w:pPr>
        <w:spacing w:after="0"/>
        <w:jc w:val="both"/>
        <w:rPr>
          <w:rFonts w:ascii="Times New Roman" w:hAnsi="Times New Roman" w:cs="Times New Roman"/>
        </w:rPr>
      </w:pPr>
      <w:r w:rsidRPr="00FC0A9E">
        <w:rPr>
          <w:rFonts w:ascii="Times New Roman" w:hAnsi="Times New Roman" w:cs="Times New Roman"/>
          <w:b/>
        </w:rPr>
        <w:tab/>
      </w:r>
      <w:r w:rsidR="000C7D02">
        <w:rPr>
          <w:rFonts w:ascii="Times New Roman" w:hAnsi="Times New Roman" w:cs="Times New Roman"/>
        </w:rPr>
        <w:t>Професионални развој службеника је сложен процес који подразумева стално развијање компетенција ради ефикаснијег и ефективнијег обављања послова. Организациона јединица за управљање људским ресурсима – службеник за управљање људским ресурсима која се/који се , између осталог, бави успостављањем система стручног усавршавања у локалним самоуправама, је након спроведеног поступка консултација за запосленима, руководиоцима управе, припремила Анализу потреба за стручним усавршавањем.</w:t>
      </w:r>
    </w:p>
    <w:p w:rsidR="000C7D02" w:rsidRDefault="000C7D02" w:rsidP="000C7D02">
      <w:pPr>
        <w:spacing w:after="0"/>
        <w:jc w:val="both"/>
        <w:rPr>
          <w:rFonts w:ascii="Times New Roman" w:hAnsi="Times New Roman" w:cs="Times New Roman"/>
        </w:rPr>
      </w:pPr>
    </w:p>
    <w:p w:rsidR="000C7D02" w:rsidRDefault="000C7D02" w:rsidP="000C7D02">
      <w:pPr>
        <w:spacing w:after="0"/>
        <w:jc w:val="both"/>
        <w:rPr>
          <w:rFonts w:ascii="Times New Roman" w:hAnsi="Times New Roman" w:cs="Times New Roman"/>
        </w:rPr>
      </w:pPr>
      <w:r>
        <w:rPr>
          <w:rFonts w:ascii="Times New Roman" w:hAnsi="Times New Roman" w:cs="Times New Roman"/>
        </w:rPr>
        <w:tab/>
        <w:t>Анализа потреба за стручним усавршавањем представља основу за доношење Обједињеног годишњег плана за стручним усавршавањем за следећу годину, због тога што се њом утврђују потребе за стручним усавршавањем запослених службеника, које ће се реализовати кроз избор одговарајућих општих и посебних програма стручног усавршавања</w:t>
      </w:r>
    </w:p>
    <w:p w:rsidR="000C7D02" w:rsidRDefault="000C7D02" w:rsidP="000C7D02">
      <w:pPr>
        <w:spacing w:after="0"/>
        <w:jc w:val="both"/>
        <w:rPr>
          <w:rFonts w:ascii="Times New Roman" w:hAnsi="Times New Roman" w:cs="Times New Roman"/>
        </w:rPr>
      </w:pPr>
    </w:p>
    <w:p w:rsidR="000C7D02" w:rsidRDefault="000C7D02" w:rsidP="000C7D02">
      <w:pPr>
        <w:spacing w:after="0"/>
        <w:jc w:val="both"/>
        <w:rPr>
          <w:rFonts w:ascii="Times New Roman" w:hAnsi="Times New Roman" w:cs="Times New Roman"/>
        </w:rPr>
      </w:pPr>
      <w:r>
        <w:rPr>
          <w:rFonts w:ascii="Times New Roman" w:hAnsi="Times New Roman" w:cs="Times New Roman"/>
        </w:rPr>
        <w:tab/>
        <w:t>У анализи су наведени општи програми стручног усавршавања који се фианасирају из буџета Републике Србије и изабрани посебни програми које ће финансирати Општинска Управа.</w:t>
      </w:r>
    </w:p>
    <w:p w:rsidR="000C7D02" w:rsidRPr="000C7D02" w:rsidRDefault="000C7D02" w:rsidP="000C7D02">
      <w:pPr>
        <w:spacing w:after="0"/>
        <w:jc w:val="both"/>
        <w:rPr>
          <w:rFonts w:ascii="Times New Roman" w:hAnsi="Times New Roman" w:cs="Times New Roman"/>
        </w:rPr>
      </w:pPr>
    </w:p>
    <w:p w:rsidR="0057798D" w:rsidRPr="00FC0A9E" w:rsidRDefault="0057798D" w:rsidP="0058268C">
      <w:pPr>
        <w:spacing w:after="0"/>
        <w:jc w:val="both"/>
        <w:rPr>
          <w:rFonts w:ascii="Times New Roman" w:hAnsi="Times New Roman" w:cs="Times New Roman"/>
        </w:rPr>
      </w:pPr>
    </w:p>
    <w:p w:rsidR="000C7D02" w:rsidRPr="000C7D02" w:rsidRDefault="0057798D" w:rsidP="000C7D02">
      <w:pPr>
        <w:spacing w:after="0"/>
        <w:jc w:val="both"/>
        <w:rPr>
          <w:rFonts w:ascii="Times New Roman" w:hAnsi="Times New Roman" w:cs="Times New Roman"/>
          <w:b/>
          <w:i/>
        </w:rPr>
      </w:pPr>
      <w:r w:rsidRPr="00FC0A9E">
        <w:rPr>
          <w:rFonts w:ascii="Times New Roman" w:hAnsi="Times New Roman" w:cs="Times New Roman"/>
        </w:rPr>
        <w:tab/>
      </w:r>
      <w:r w:rsidRPr="00FC0A9E">
        <w:rPr>
          <w:rFonts w:ascii="Times New Roman" w:hAnsi="Times New Roman" w:cs="Times New Roman"/>
          <w:b/>
        </w:rPr>
        <w:t xml:space="preserve">2. </w:t>
      </w:r>
      <w:r w:rsidR="000C7D02">
        <w:rPr>
          <w:rFonts w:ascii="Times New Roman" w:hAnsi="Times New Roman" w:cs="Times New Roman"/>
          <w:b/>
        </w:rPr>
        <w:t>Анализа потреба за обуком о додатним образовањем свих служебика и утврђивање циљева обука</w:t>
      </w:r>
    </w:p>
    <w:p w:rsidR="0057798D" w:rsidRDefault="0057798D" w:rsidP="005D6B23">
      <w:pPr>
        <w:spacing w:after="0"/>
        <w:jc w:val="both"/>
        <w:rPr>
          <w:rFonts w:ascii="Times New Roman" w:hAnsi="Times New Roman" w:cs="Times New Roman"/>
          <w:b/>
          <w:i/>
        </w:rPr>
      </w:pPr>
    </w:p>
    <w:p w:rsidR="00E5744E" w:rsidRDefault="00E5744E" w:rsidP="005D6B23">
      <w:pPr>
        <w:spacing w:after="0"/>
        <w:jc w:val="both"/>
        <w:rPr>
          <w:rFonts w:ascii="Times New Roman" w:hAnsi="Times New Roman" w:cs="Times New Roman"/>
        </w:rPr>
      </w:pPr>
    </w:p>
    <w:p w:rsidR="00E5744E" w:rsidRDefault="00E5744E" w:rsidP="000C7D02">
      <w:pPr>
        <w:spacing w:after="0"/>
        <w:jc w:val="both"/>
        <w:rPr>
          <w:rFonts w:ascii="Times New Roman" w:hAnsi="Times New Roman" w:cs="Times New Roman"/>
        </w:rPr>
      </w:pPr>
      <w:r>
        <w:rPr>
          <w:rFonts w:ascii="Times New Roman" w:hAnsi="Times New Roman" w:cs="Times New Roman"/>
        </w:rPr>
        <w:tab/>
      </w:r>
      <w:r w:rsidR="000C7D02">
        <w:rPr>
          <w:rFonts w:ascii="Times New Roman" w:hAnsi="Times New Roman" w:cs="Times New Roman"/>
        </w:rPr>
        <w:t xml:space="preserve">Утврђивање потреба за стручним усавршавањем запослених се спроводи на годишњем нивоу. Координатор овог процеса је </w:t>
      </w:r>
      <w:r w:rsidR="00DB3936">
        <w:rPr>
          <w:rFonts w:ascii="Times New Roman" w:hAnsi="Times New Roman" w:cs="Times New Roman"/>
        </w:rPr>
        <w:t>Организациона јединица за управљање људским ресурсима – службеник за управљање људским ресурсима, у сарадњи са Начелником Општинске управе, а у њему учествују сви руководиоци унутрашњих организационих јединица који заједно са својим запосленима препознају и предлажу области за стручно и додатно образовање, које ће у наредној години бити предмет стручног усавршавања.</w:t>
      </w:r>
    </w:p>
    <w:p w:rsidR="00DB3936" w:rsidRDefault="00DB3936" w:rsidP="000C7D02">
      <w:pPr>
        <w:spacing w:after="0"/>
        <w:jc w:val="both"/>
        <w:rPr>
          <w:rFonts w:ascii="Times New Roman" w:hAnsi="Times New Roman" w:cs="Times New Roman"/>
        </w:rPr>
      </w:pPr>
      <w:r>
        <w:rPr>
          <w:rFonts w:ascii="Times New Roman" w:hAnsi="Times New Roman" w:cs="Times New Roman"/>
        </w:rPr>
        <w:tab/>
      </w:r>
    </w:p>
    <w:p w:rsidR="00DB3936" w:rsidRDefault="00DB3936" w:rsidP="000C7D02">
      <w:pPr>
        <w:spacing w:after="0"/>
        <w:jc w:val="both"/>
        <w:rPr>
          <w:rFonts w:ascii="Times New Roman" w:hAnsi="Times New Roman" w:cs="Times New Roman"/>
        </w:rPr>
      </w:pPr>
      <w:r>
        <w:rPr>
          <w:rFonts w:ascii="Times New Roman" w:hAnsi="Times New Roman" w:cs="Times New Roman"/>
        </w:rPr>
        <w:tab/>
        <w:t>Организациона јединица за управљање људским ресурсима – службеник за управљање људским ресурсима стара се о томе да се анализа потреба заснива на униформном приступу и методологији на нивоу Општинске управе и других органа општине Бујановац, чиме се избегава субјективност руководилаца и запослених у дефинисању потреба. Утврђивање потреба за стручним усавршавањем је значајно да би органи општине били сигурни да „прави људи похађају праве обуке“, као и да то на одговарајући начин користи како самој организацији, тако и личном и професионалном развоју запослених.</w:t>
      </w:r>
    </w:p>
    <w:p w:rsidR="00DB3936" w:rsidRDefault="00DB3936" w:rsidP="000C7D02">
      <w:pPr>
        <w:spacing w:after="0"/>
        <w:jc w:val="both"/>
        <w:rPr>
          <w:rFonts w:ascii="Times New Roman" w:hAnsi="Times New Roman" w:cs="Times New Roman"/>
        </w:rPr>
      </w:pPr>
    </w:p>
    <w:p w:rsidR="00DB3936" w:rsidRDefault="00DB3936" w:rsidP="000C7D02">
      <w:pPr>
        <w:spacing w:after="0"/>
        <w:jc w:val="both"/>
        <w:rPr>
          <w:rFonts w:ascii="Times New Roman" w:hAnsi="Times New Roman" w:cs="Times New Roman"/>
          <w:b/>
        </w:rPr>
      </w:pPr>
      <w:r>
        <w:rPr>
          <w:rFonts w:ascii="Times New Roman" w:hAnsi="Times New Roman" w:cs="Times New Roman"/>
        </w:rPr>
        <w:tab/>
      </w:r>
      <w:r>
        <w:rPr>
          <w:rFonts w:ascii="Times New Roman" w:hAnsi="Times New Roman" w:cs="Times New Roman"/>
          <w:b/>
        </w:rPr>
        <w:t>2.1. Поступак спровођења анализе потреба за стручним усавршавањем</w:t>
      </w:r>
    </w:p>
    <w:p w:rsidR="00DB3936" w:rsidRDefault="00DB3936" w:rsidP="000C7D02">
      <w:pPr>
        <w:spacing w:after="0"/>
        <w:jc w:val="both"/>
        <w:rPr>
          <w:rFonts w:ascii="Times New Roman" w:hAnsi="Times New Roman" w:cs="Times New Roman"/>
          <w:b/>
        </w:rPr>
      </w:pPr>
    </w:p>
    <w:p w:rsidR="00DB3936" w:rsidRDefault="00DB3936" w:rsidP="000C7D02">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Анализа потреба за стручним усавршавањем отпочиње прикупљањем података о потребама за општим и посебним програмима стручног усавршавања, од свих организационих јединица општинске управе, у другом кварталу текуће године за идућу годину, Руководилац Организационе јединице за управљање људским ресурсима – службеник за управљање људским ресурсима утврђује: Листу потреба за обуком и додатним образовањем, сврху и циљеве обуке.</w:t>
      </w:r>
    </w:p>
    <w:p w:rsidR="00DB3936" w:rsidRDefault="00DB3936" w:rsidP="000C7D02">
      <w:pPr>
        <w:spacing w:after="0"/>
        <w:jc w:val="both"/>
        <w:rPr>
          <w:rFonts w:ascii="Times New Roman" w:hAnsi="Times New Roman" w:cs="Times New Roman"/>
        </w:rPr>
      </w:pPr>
      <w:r>
        <w:rPr>
          <w:rFonts w:ascii="Times New Roman" w:hAnsi="Times New Roman" w:cs="Times New Roman"/>
        </w:rPr>
        <w:tab/>
        <w:t>Анализа потреба за обуком има следеће кораке:</w:t>
      </w:r>
    </w:p>
    <w:p w:rsidR="00DB3936" w:rsidRDefault="00DB3936" w:rsidP="00DB3936">
      <w:pPr>
        <w:pStyle w:val="ListParagraph"/>
        <w:numPr>
          <w:ilvl w:val="0"/>
          <w:numId w:val="12"/>
        </w:numPr>
        <w:spacing w:after="0"/>
        <w:jc w:val="both"/>
        <w:rPr>
          <w:rFonts w:ascii="Times New Roman" w:hAnsi="Times New Roman" w:cs="Times New Roman"/>
        </w:rPr>
      </w:pPr>
      <w:r>
        <w:rPr>
          <w:rFonts w:ascii="Times New Roman" w:hAnsi="Times New Roman" w:cs="Times New Roman"/>
        </w:rPr>
        <w:t>Уводни састанак службеника за управљање људским ресурсима са Начелником општинске управе;</w:t>
      </w:r>
    </w:p>
    <w:p w:rsidR="00F104DA" w:rsidRDefault="00DB3936" w:rsidP="00DB3936">
      <w:pPr>
        <w:pStyle w:val="ListParagraph"/>
        <w:numPr>
          <w:ilvl w:val="0"/>
          <w:numId w:val="12"/>
        </w:numPr>
        <w:spacing w:after="0"/>
        <w:jc w:val="both"/>
        <w:rPr>
          <w:rFonts w:ascii="Times New Roman" w:hAnsi="Times New Roman" w:cs="Times New Roman"/>
        </w:rPr>
      </w:pPr>
      <w:r>
        <w:rPr>
          <w:rFonts w:ascii="Times New Roman" w:hAnsi="Times New Roman" w:cs="Times New Roman"/>
        </w:rPr>
        <w:lastRenderedPageBreak/>
        <w:t xml:space="preserve">Утврђивање стандардизоване методологије, циљева и плана за анализу потреба за обуком, као и стандардни формат за прикупљање података (Упитник) који припрема </w:t>
      </w:r>
      <w:r w:rsidR="00F104DA">
        <w:rPr>
          <w:rFonts w:ascii="Times New Roman" w:hAnsi="Times New Roman" w:cs="Times New Roman"/>
        </w:rPr>
        <w:t>Организациона јединица за управљање људским ресурсима – службеник за управљање људским ресурсима;</w:t>
      </w:r>
    </w:p>
    <w:p w:rsidR="00F104DA" w:rsidRDefault="00F104DA" w:rsidP="00DB3936">
      <w:pPr>
        <w:pStyle w:val="ListParagraph"/>
        <w:numPr>
          <w:ilvl w:val="0"/>
          <w:numId w:val="12"/>
        </w:numPr>
        <w:spacing w:after="0"/>
        <w:jc w:val="both"/>
        <w:rPr>
          <w:rFonts w:ascii="Times New Roman" w:hAnsi="Times New Roman" w:cs="Times New Roman"/>
        </w:rPr>
      </w:pPr>
      <w:r>
        <w:rPr>
          <w:rFonts w:ascii="Times New Roman" w:hAnsi="Times New Roman" w:cs="Times New Roman"/>
        </w:rPr>
        <w:t>Обуке за све руководиоце организационих јединица за спровођење анализе потреба за стручним усавршавањем;</w:t>
      </w:r>
    </w:p>
    <w:p w:rsidR="00F104DA" w:rsidRDefault="00F104DA" w:rsidP="00DB3936">
      <w:pPr>
        <w:pStyle w:val="ListParagraph"/>
        <w:numPr>
          <w:ilvl w:val="0"/>
          <w:numId w:val="12"/>
        </w:numPr>
        <w:spacing w:after="0"/>
        <w:jc w:val="both"/>
        <w:rPr>
          <w:rFonts w:ascii="Times New Roman" w:hAnsi="Times New Roman" w:cs="Times New Roman"/>
        </w:rPr>
      </w:pPr>
      <w:r>
        <w:rPr>
          <w:rFonts w:ascii="Times New Roman" w:hAnsi="Times New Roman" w:cs="Times New Roman"/>
        </w:rPr>
        <w:t>Идентификација извора информација;</w:t>
      </w:r>
    </w:p>
    <w:p w:rsidR="00F104DA" w:rsidRDefault="00F104DA" w:rsidP="00DB3936">
      <w:pPr>
        <w:pStyle w:val="ListParagraph"/>
        <w:numPr>
          <w:ilvl w:val="0"/>
          <w:numId w:val="12"/>
        </w:numPr>
        <w:spacing w:after="0"/>
        <w:jc w:val="both"/>
        <w:rPr>
          <w:rFonts w:ascii="Times New Roman" w:hAnsi="Times New Roman" w:cs="Times New Roman"/>
        </w:rPr>
      </w:pPr>
      <w:r>
        <w:rPr>
          <w:rFonts w:ascii="Times New Roman" w:hAnsi="Times New Roman" w:cs="Times New Roman"/>
        </w:rPr>
        <w:t>Прикупљање информација и спровођење анализе Анализирање података и идентификација потреба;</w:t>
      </w:r>
    </w:p>
    <w:p w:rsidR="00F104DA" w:rsidRDefault="00F104DA" w:rsidP="00DB3936">
      <w:pPr>
        <w:pStyle w:val="ListParagraph"/>
        <w:numPr>
          <w:ilvl w:val="0"/>
          <w:numId w:val="12"/>
        </w:numPr>
        <w:spacing w:after="0"/>
        <w:jc w:val="both"/>
        <w:rPr>
          <w:rFonts w:ascii="Times New Roman" w:hAnsi="Times New Roman" w:cs="Times New Roman"/>
        </w:rPr>
      </w:pPr>
      <w:r>
        <w:rPr>
          <w:rFonts w:ascii="Times New Roman" w:hAnsi="Times New Roman" w:cs="Times New Roman"/>
        </w:rPr>
        <w:t>Развијање циљева стручног усавршавања;</w:t>
      </w:r>
    </w:p>
    <w:p w:rsidR="00F104DA" w:rsidRDefault="00F104DA" w:rsidP="00F104DA">
      <w:pPr>
        <w:pStyle w:val="ListParagraph"/>
        <w:numPr>
          <w:ilvl w:val="0"/>
          <w:numId w:val="12"/>
        </w:numPr>
        <w:spacing w:after="0"/>
        <w:jc w:val="both"/>
        <w:rPr>
          <w:rFonts w:ascii="Times New Roman" w:hAnsi="Times New Roman" w:cs="Times New Roman"/>
        </w:rPr>
      </w:pPr>
      <w:r>
        <w:rPr>
          <w:rFonts w:ascii="Times New Roman" w:hAnsi="Times New Roman" w:cs="Times New Roman"/>
        </w:rPr>
        <w:t>Припремање извештаја и утврђивање општих и посебних програма стручног усавршавања који одговарају потребама за стручним усавршавањем.</w:t>
      </w:r>
    </w:p>
    <w:p w:rsidR="00F104DA" w:rsidRDefault="00F104DA" w:rsidP="00F104DA">
      <w:pPr>
        <w:pStyle w:val="ListParagraph"/>
        <w:spacing w:after="0"/>
        <w:ind w:left="0"/>
        <w:jc w:val="both"/>
        <w:rPr>
          <w:rFonts w:ascii="Times New Roman" w:hAnsi="Times New Roman" w:cs="Times New Roman"/>
        </w:rPr>
      </w:pPr>
      <w:r>
        <w:rPr>
          <w:rFonts w:ascii="Times New Roman" w:hAnsi="Times New Roman" w:cs="Times New Roman"/>
        </w:rPr>
        <w:tab/>
      </w:r>
    </w:p>
    <w:p w:rsidR="00F104DA" w:rsidRDefault="00F104DA" w:rsidP="00F104DA">
      <w:pPr>
        <w:pStyle w:val="ListParagraph"/>
        <w:spacing w:after="0"/>
        <w:ind w:left="0"/>
        <w:jc w:val="both"/>
        <w:rPr>
          <w:rFonts w:ascii="Times New Roman" w:hAnsi="Times New Roman" w:cs="Times New Roman"/>
        </w:rPr>
      </w:pPr>
      <w:r>
        <w:rPr>
          <w:rFonts w:ascii="Times New Roman" w:hAnsi="Times New Roman" w:cs="Times New Roman"/>
        </w:rPr>
        <w:tab/>
        <w:t>Службеник за управљање људским ресурсима, у чијем се опису радног места налазе послови везани за стручно усавршавање, усклађује утврђење потребе и циљеве обуке са понуђеним областима/темама из општих програма обуке који се финансирају из буџета Републике Србије, као и са обукама у оквиру посебних програма стручног усавршавања, које финансира општина Бујановац, из свог буџета и припремају Нацрт листе општих и посебних програма стручног усавршавања.</w:t>
      </w:r>
    </w:p>
    <w:p w:rsidR="0001054E" w:rsidRPr="00FC0A9E" w:rsidRDefault="0001054E" w:rsidP="0058268C">
      <w:pPr>
        <w:spacing w:after="0"/>
        <w:jc w:val="both"/>
        <w:rPr>
          <w:rFonts w:ascii="Times New Roman" w:hAnsi="Times New Roman" w:cs="Times New Roman"/>
        </w:rPr>
      </w:pPr>
    </w:p>
    <w:p w:rsidR="0001054E" w:rsidRPr="00F104DA" w:rsidRDefault="0001054E" w:rsidP="0058268C">
      <w:pPr>
        <w:spacing w:after="0"/>
        <w:jc w:val="both"/>
        <w:rPr>
          <w:rFonts w:ascii="Times New Roman" w:hAnsi="Times New Roman" w:cs="Times New Roman"/>
          <w:b/>
        </w:rPr>
      </w:pPr>
      <w:r w:rsidRPr="00FC0A9E">
        <w:rPr>
          <w:rFonts w:ascii="Times New Roman" w:hAnsi="Times New Roman" w:cs="Times New Roman"/>
        </w:rPr>
        <w:tab/>
      </w:r>
      <w:r w:rsidRPr="00FC0A9E">
        <w:rPr>
          <w:rFonts w:ascii="Times New Roman" w:hAnsi="Times New Roman" w:cs="Times New Roman"/>
          <w:b/>
        </w:rPr>
        <w:t xml:space="preserve">3. </w:t>
      </w:r>
      <w:r w:rsidR="00F104DA">
        <w:rPr>
          <w:rFonts w:ascii="Times New Roman" w:hAnsi="Times New Roman" w:cs="Times New Roman"/>
          <w:b/>
        </w:rPr>
        <w:t>Изабрани општи програми стручног усавршавања</w:t>
      </w:r>
    </w:p>
    <w:p w:rsidR="0001054E" w:rsidRPr="00FC0A9E" w:rsidRDefault="0001054E" w:rsidP="0058268C">
      <w:pPr>
        <w:spacing w:after="0"/>
        <w:jc w:val="both"/>
        <w:rPr>
          <w:rFonts w:ascii="Times New Roman" w:hAnsi="Times New Roman" w:cs="Times New Roman"/>
          <w:b/>
        </w:rPr>
      </w:pPr>
    </w:p>
    <w:p w:rsidR="00036178" w:rsidRDefault="0001054E" w:rsidP="00F104DA">
      <w:pPr>
        <w:spacing w:after="0"/>
        <w:jc w:val="both"/>
        <w:rPr>
          <w:rFonts w:ascii="Times New Roman" w:hAnsi="Times New Roman" w:cs="Times New Roman"/>
        </w:rPr>
      </w:pPr>
      <w:r w:rsidRPr="00FC0A9E">
        <w:rPr>
          <w:rFonts w:ascii="Times New Roman" w:hAnsi="Times New Roman" w:cs="Times New Roman"/>
          <w:b/>
        </w:rPr>
        <w:tab/>
      </w:r>
      <w:r w:rsidR="00F104DA">
        <w:rPr>
          <w:rFonts w:ascii="Times New Roman" w:hAnsi="Times New Roman" w:cs="Times New Roman"/>
        </w:rPr>
        <w:t>Листу општих програма стручног усавршавања, осим општег програма стручног усавршавања за поагање државног стручног испита, утврђује министар надлежан за локалну самоуправу, на основу предлога надлежног органа државне управе и мишљења Савета за стручно усавршавање (у наставку текста:Савет).</w:t>
      </w:r>
    </w:p>
    <w:p w:rsidR="00F104DA" w:rsidRDefault="00F104DA" w:rsidP="00F104DA">
      <w:pPr>
        <w:spacing w:after="0"/>
        <w:jc w:val="both"/>
        <w:rPr>
          <w:rFonts w:ascii="Times New Roman" w:hAnsi="Times New Roman" w:cs="Times New Roman"/>
        </w:rPr>
      </w:pPr>
      <w:r>
        <w:rPr>
          <w:rFonts w:ascii="Times New Roman" w:hAnsi="Times New Roman" w:cs="Times New Roman"/>
        </w:rPr>
        <w:tab/>
      </w:r>
    </w:p>
    <w:p w:rsidR="00F104DA" w:rsidRPr="00F104DA" w:rsidRDefault="00F104DA" w:rsidP="00F104DA">
      <w:pPr>
        <w:spacing w:after="0"/>
        <w:jc w:val="both"/>
        <w:rPr>
          <w:rFonts w:ascii="Times New Roman" w:hAnsi="Times New Roman" w:cs="Times New Roman"/>
        </w:rPr>
      </w:pPr>
      <w:r>
        <w:rPr>
          <w:rFonts w:ascii="Times New Roman" w:hAnsi="Times New Roman" w:cs="Times New Roman"/>
        </w:rPr>
        <w:tab/>
        <w:t>Општи програми стручног усавршавања, за којима постоји потреба у органима општине Бујановац, бирају се са листе општих програма коју је утврдио министар надлежан за локалну самоуправу.</w:t>
      </w:r>
    </w:p>
    <w:p w:rsidR="00B80A03" w:rsidRPr="00FC0A9E" w:rsidRDefault="00B80A03" w:rsidP="00B80A03">
      <w:pPr>
        <w:rPr>
          <w:rFonts w:ascii="Times New Roman" w:hAnsi="Times New Roman" w:cs="Times New Roman"/>
        </w:rPr>
      </w:pPr>
    </w:p>
    <w:p w:rsidR="007F5108" w:rsidRDefault="00B80A03" w:rsidP="00B80A03">
      <w:pPr>
        <w:ind w:firstLine="720"/>
        <w:rPr>
          <w:rFonts w:ascii="Times New Roman" w:hAnsi="Times New Roman" w:cs="Times New Roman"/>
          <w:b/>
        </w:rPr>
      </w:pPr>
      <w:r w:rsidRPr="00FC0A9E">
        <w:rPr>
          <w:rFonts w:ascii="Times New Roman" w:hAnsi="Times New Roman" w:cs="Times New Roman"/>
          <w:b/>
        </w:rPr>
        <w:t>4.</w:t>
      </w:r>
      <w:r w:rsidR="00F104DA">
        <w:rPr>
          <w:rFonts w:ascii="Times New Roman" w:hAnsi="Times New Roman" w:cs="Times New Roman"/>
          <w:b/>
        </w:rPr>
        <w:t xml:space="preserve"> Изабрани посебни програми стручног усавршавања</w:t>
      </w:r>
    </w:p>
    <w:p w:rsidR="00422605" w:rsidRDefault="00F104DA" w:rsidP="00422605">
      <w:pPr>
        <w:ind w:firstLine="720"/>
        <w:jc w:val="both"/>
        <w:rPr>
          <w:rFonts w:ascii="Times New Roman" w:hAnsi="Times New Roman" w:cs="Times New Roman"/>
        </w:rPr>
      </w:pPr>
      <w:r>
        <w:rPr>
          <w:rFonts w:ascii="Times New Roman" w:hAnsi="Times New Roman" w:cs="Times New Roman"/>
        </w:rPr>
        <w:t>Припрема посебних програма стручног усавршавања заснива се на деф</w:t>
      </w:r>
      <w:r w:rsidR="003262FE">
        <w:rPr>
          <w:rFonts w:ascii="Times New Roman" w:hAnsi="Times New Roman" w:cs="Times New Roman"/>
        </w:rPr>
        <w:t>инисаним циљевима у извештају о птребама за стручним усавршавањем (конкретним знањима, вештианам и способностима које је потребно унапредити), као и осталим неопходним параметрима, укључујући методе стручног усавршавања, циљне групе и опис полазника, очекиване исходе и ефекте стручног усавршавања и индикаторе за њихово праћење, тип материјала који че се користити, образложење актуелности програма у односу на важеће прописе и планиране измене у надлежностима, опису и обиму послова, очекиване измене и увођења нових услуга или приступа, итд.</w:t>
      </w:r>
    </w:p>
    <w:p w:rsidR="003262FE" w:rsidRPr="00F104DA" w:rsidRDefault="003262FE" w:rsidP="00422605">
      <w:pPr>
        <w:ind w:firstLine="720"/>
        <w:jc w:val="both"/>
        <w:rPr>
          <w:rFonts w:ascii="Times New Roman" w:hAnsi="Times New Roman" w:cs="Times New Roman"/>
        </w:rPr>
      </w:pPr>
      <w:r>
        <w:rPr>
          <w:rFonts w:ascii="Times New Roman" w:hAnsi="Times New Roman" w:cs="Times New Roman"/>
        </w:rPr>
        <w:t xml:space="preserve">Лситу посебних програма стручног усавршавања, припрема Организациона јединица за управљање људским ресурсима – службеник за управљање људским ресурсима, у сарадњу са Начелником општинске управе, а на основу анализе потреба за стручним усавршавањем, као и руководилаца свих оргнаизационих јединица у оквиру општине Бујановац и њених органа. Посебни програми садрже обавезне елементе утврђене Правилником о утврђивању обавезних </w:t>
      </w:r>
      <w:r>
        <w:rPr>
          <w:rFonts w:ascii="Times New Roman" w:hAnsi="Times New Roman" w:cs="Times New Roman"/>
        </w:rPr>
        <w:lastRenderedPageBreak/>
        <w:t>елемената програма општег и посебног стручног усавршавања службеника у јединицама локалне самоуправе.</w:t>
      </w:r>
    </w:p>
    <w:p w:rsidR="00422605" w:rsidRPr="003262FE" w:rsidRDefault="00422605" w:rsidP="00422605">
      <w:pPr>
        <w:ind w:firstLine="720"/>
        <w:jc w:val="both"/>
        <w:rPr>
          <w:rFonts w:ascii="Times New Roman" w:hAnsi="Times New Roman" w:cs="Times New Roman"/>
          <w:b/>
        </w:rPr>
      </w:pPr>
      <w:r>
        <w:rPr>
          <w:rFonts w:ascii="Times New Roman" w:hAnsi="Times New Roman" w:cs="Times New Roman"/>
          <w:b/>
        </w:rPr>
        <w:t xml:space="preserve">5. </w:t>
      </w:r>
      <w:r w:rsidR="003262FE">
        <w:rPr>
          <w:rFonts w:ascii="Times New Roman" w:hAnsi="Times New Roman" w:cs="Times New Roman"/>
          <w:b/>
        </w:rPr>
        <w:t>Поступак припреме Обједињеног годишњег плана стручног усавршавања</w:t>
      </w:r>
    </w:p>
    <w:p w:rsidR="00387FF1" w:rsidRDefault="003262FE" w:rsidP="00387FF1">
      <w:pPr>
        <w:pStyle w:val="ListParagraph"/>
        <w:ind w:left="0"/>
        <w:jc w:val="both"/>
        <w:rPr>
          <w:rFonts w:ascii="Times New Roman" w:hAnsi="Times New Roman" w:cs="Times New Roman"/>
        </w:rPr>
      </w:pPr>
      <w:r>
        <w:rPr>
          <w:rFonts w:ascii="Times New Roman" w:hAnsi="Times New Roman" w:cs="Times New Roman"/>
        </w:rPr>
        <w:tab/>
        <w:t>Припрема Обједињеног годишњег плана стручнго усавршавања почиње у септембру месецу текуће године након спроведене Анализе потреба, изабраних општих и посебних програма и припреме посебних програма стручног усавршавања. Изабране програме стручног усавршавања, начелник општинске управе у овкиру које се налази Организациона јединица за управљање људским ресурсима – службеник за управљање људским ресурсима, доставља на мишљење Савету за стручно усавршавање.</w:t>
      </w:r>
    </w:p>
    <w:p w:rsidR="00E3163F" w:rsidRDefault="00E3163F" w:rsidP="00387FF1">
      <w:pPr>
        <w:pStyle w:val="ListParagraph"/>
        <w:ind w:left="0"/>
        <w:jc w:val="both"/>
        <w:rPr>
          <w:rFonts w:ascii="Times New Roman" w:hAnsi="Times New Roman" w:cs="Times New Roman"/>
        </w:rPr>
      </w:pPr>
    </w:p>
    <w:p w:rsidR="00E3163F" w:rsidRDefault="00E3163F" w:rsidP="00387FF1">
      <w:pPr>
        <w:pStyle w:val="ListParagraph"/>
        <w:ind w:left="0"/>
        <w:jc w:val="both"/>
        <w:rPr>
          <w:rFonts w:ascii="Times New Roman" w:hAnsi="Times New Roman" w:cs="Times New Roman"/>
          <w:b/>
        </w:rPr>
      </w:pPr>
      <w:r>
        <w:rPr>
          <w:rFonts w:ascii="Times New Roman" w:hAnsi="Times New Roman" w:cs="Times New Roman"/>
        </w:rPr>
        <w:tab/>
      </w:r>
      <w:r>
        <w:rPr>
          <w:rFonts w:ascii="Times New Roman" w:hAnsi="Times New Roman" w:cs="Times New Roman"/>
          <w:b/>
        </w:rPr>
        <w:t xml:space="preserve">5.1. Планирање и програмирање посебних програма стручног усавршавања </w:t>
      </w:r>
    </w:p>
    <w:p w:rsidR="00E3163F" w:rsidRDefault="00E3163F" w:rsidP="00387FF1">
      <w:pPr>
        <w:pStyle w:val="ListParagraph"/>
        <w:ind w:left="0"/>
        <w:jc w:val="both"/>
        <w:rPr>
          <w:rFonts w:ascii="Times New Roman" w:hAnsi="Times New Roman" w:cs="Times New Roman"/>
          <w:b/>
        </w:rPr>
      </w:pPr>
      <w:r>
        <w:rPr>
          <w:rFonts w:ascii="Times New Roman" w:hAnsi="Times New Roman" w:cs="Times New Roman"/>
          <w:b/>
        </w:rPr>
        <w:tab/>
      </w:r>
    </w:p>
    <w:p w:rsidR="00E3163F" w:rsidRDefault="00E3163F" w:rsidP="00387FF1">
      <w:pPr>
        <w:pStyle w:val="ListParagraph"/>
        <w:ind w:left="0"/>
        <w:jc w:val="both"/>
        <w:rPr>
          <w:rFonts w:ascii="Times New Roman" w:hAnsi="Times New Roman" w:cs="Times New Roman"/>
        </w:rPr>
      </w:pPr>
      <w:r>
        <w:rPr>
          <w:rFonts w:ascii="Times New Roman" w:hAnsi="Times New Roman" w:cs="Times New Roman"/>
          <w:b/>
        </w:rPr>
        <w:tab/>
      </w:r>
      <w:r w:rsidRPr="00E3163F">
        <w:rPr>
          <w:rFonts w:ascii="Times New Roman" w:hAnsi="Times New Roman" w:cs="Times New Roman"/>
        </w:rPr>
        <w:t>Обједињени план ће омогућити планирање и програмирање програма стручног усавршавања у складу са развојним потребама градских управа и других органа општине Бујановац</w:t>
      </w:r>
      <w:r>
        <w:rPr>
          <w:rFonts w:ascii="Times New Roman" w:hAnsi="Times New Roman" w:cs="Times New Roman"/>
        </w:rPr>
        <w:t xml:space="preserve"> и појединачним развојним потребама свих запослених службеника, као и финансијским могућностима за реализацију посебних програма стручног усавршавања. Обједињени годишњи план обухвата све видове едукације, кроз опште и посебне програме стручног усавршавања и њима се обезбеђује реализација програма стручног усавршавања на годишњем нивоу.</w:t>
      </w:r>
    </w:p>
    <w:p w:rsidR="00E3163F" w:rsidRDefault="00E3163F" w:rsidP="00387FF1">
      <w:pPr>
        <w:pStyle w:val="ListParagraph"/>
        <w:ind w:left="0"/>
        <w:jc w:val="both"/>
        <w:rPr>
          <w:rFonts w:ascii="Times New Roman" w:hAnsi="Times New Roman" w:cs="Times New Roman"/>
        </w:rPr>
      </w:pPr>
      <w:r>
        <w:rPr>
          <w:rFonts w:ascii="Times New Roman" w:hAnsi="Times New Roman" w:cs="Times New Roman"/>
        </w:rPr>
        <w:tab/>
        <w:t>Након што су утврђене листе општих и посебних програма стручног усавршавања и припремљени посебни програми, Организациона јединица за управљање људским ресурсима – службеник за управљање људским ресурсима припрема Нацрт Обједињеног годишњег програма стручног усавршвања и доставља га начелнику Општинске управе. Модел обједињеног годишњег плана за стручно усавршавање дат је у Прилогу овог домумента.</w:t>
      </w:r>
    </w:p>
    <w:p w:rsidR="00E3163F" w:rsidRDefault="00E3163F" w:rsidP="00387FF1">
      <w:pPr>
        <w:pStyle w:val="ListParagraph"/>
        <w:ind w:left="0"/>
        <w:jc w:val="both"/>
        <w:rPr>
          <w:rFonts w:ascii="Times New Roman" w:hAnsi="Times New Roman" w:cs="Times New Roman"/>
        </w:rPr>
      </w:pPr>
    </w:p>
    <w:p w:rsidR="00E3163F" w:rsidRDefault="00E3163F" w:rsidP="00387FF1">
      <w:pPr>
        <w:pStyle w:val="ListParagraph"/>
        <w:ind w:left="0"/>
        <w:jc w:val="both"/>
        <w:rPr>
          <w:rFonts w:ascii="Times New Roman" w:hAnsi="Times New Roman" w:cs="Times New Roman"/>
        </w:rPr>
      </w:pPr>
      <w:r>
        <w:rPr>
          <w:rFonts w:ascii="Times New Roman" w:hAnsi="Times New Roman" w:cs="Times New Roman"/>
        </w:rPr>
        <w:tab/>
        <w:t>Нач</w:t>
      </w:r>
      <w:r w:rsidR="004816E4">
        <w:rPr>
          <w:rFonts w:ascii="Times New Roman" w:hAnsi="Times New Roman" w:cs="Times New Roman"/>
        </w:rPr>
        <w:t>е</w:t>
      </w:r>
      <w:r>
        <w:rPr>
          <w:rFonts w:ascii="Times New Roman" w:hAnsi="Times New Roman" w:cs="Times New Roman"/>
        </w:rPr>
        <w:t>лник Општинске управе усваја Обједињени годишњи план у децембру текуће године, за идућу годину.</w:t>
      </w:r>
    </w:p>
    <w:p w:rsidR="00E3163F" w:rsidRDefault="00E3163F" w:rsidP="00387FF1">
      <w:pPr>
        <w:pStyle w:val="ListParagraph"/>
        <w:ind w:left="0"/>
        <w:jc w:val="both"/>
        <w:rPr>
          <w:rFonts w:ascii="Times New Roman" w:hAnsi="Times New Roman" w:cs="Times New Roman"/>
          <w:b/>
        </w:rPr>
      </w:pPr>
      <w:r>
        <w:rPr>
          <w:rFonts w:ascii="Times New Roman" w:hAnsi="Times New Roman" w:cs="Times New Roman"/>
        </w:rPr>
        <w:tab/>
      </w:r>
    </w:p>
    <w:p w:rsidR="00E3163F" w:rsidRDefault="00E3163F" w:rsidP="00387FF1">
      <w:pPr>
        <w:pStyle w:val="ListParagraph"/>
        <w:ind w:left="0"/>
        <w:jc w:val="both"/>
        <w:rPr>
          <w:rFonts w:ascii="Times New Roman" w:hAnsi="Times New Roman" w:cs="Times New Roman"/>
          <w:b/>
        </w:rPr>
      </w:pPr>
      <w:r>
        <w:rPr>
          <w:rFonts w:ascii="Times New Roman" w:hAnsi="Times New Roman" w:cs="Times New Roman"/>
          <w:b/>
        </w:rPr>
        <w:tab/>
        <w:t>5.2. Садржина Обједињеног годишњег плана</w:t>
      </w:r>
    </w:p>
    <w:p w:rsidR="00E3163F" w:rsidRDefault="00E3163F" w:rsidP="00387FF1">
      <w:pPr>
        <w:pStyle w:val="ListParagraph"/>
        <w:ind w:left="0"/>
        <w:jc w:val="both"/>
        <w:rPr>
          <w:rFonts w:ascii="Times New Roman" w:hAnsi="Times New Roman" w:cs="Times New Roman"/>
          <w:b/>
        </w:rPr>
      </w:pPr>
    </w:p>
    <w:p w:rsidR="00E3163F" w:rsidRDefault="00E3163F" w:rsidP="00387FF1">
      <w:pPr>
        <w:pStyle w:val="ListParagraph"/>
        <w:ind w:left="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Обједињени годишњи план, нарочито, садржи:</w:t>
      </w:r>
    </w:p>
    <w:p w:rsidR="00E3163F" w:rsidRDefault="00E3163F" w:rsidP="00E3163F">
      <w:pPr>
        <w:pStyle w:val="ListParagraph"/>
        <w:numPr>
          <w:ilvl w:val="0"/>
          <w:numId w:val="13"/>
        </w:numPr>
        <w:jc w:val="both"/>
        <w:rPr>
          <w:rFonts w:ascii="Times New Roman" w:hAnsi="Times New Roman" w:cs="Times New Roman"/>
        </w:rPr>
      </w:pPr>
      <w:r>
        <w:rPr>
          <w:rFonts w:ascii="Times New Roman" w:hAnsi="Times New Roman" w:cs="Times New Roman"/>
        </w:rPr>
        <w:t>Назив обуке или другог облика стручног усавршавања;</w:t>
      </w:r>
    </w:p>
    <w:p w:rsidR="00E3163F" w:rsidRDefault="00E3163F" w:rsidP="00E3163F">
      <w:pPr>
        <w:pStyle w:val="ListParagraph"/>
        <w:numPr>
          <w:ilvl w:val="0"/>
          <w:numId w:val="13"/>
        </w:numPr>
        <w:jc w:val="both"/>
        <w:rPr>
          <w:rFonts w:ascii="Times New Roman" w:hAnsi="Times New Roman" w:cs="Times New Roman"/>
        </w:rPr>
      </w:pPr>
      <w:r>
        <w:rPr>
          <w:rFonts w:ascii="Times New Roman" w:hAnsi="Times New Roman" w:cs="Times New Roman"/>
        </w:rPr>
        <w:t>Припадност општем или посебном програму стручног усавршавања;</w:t>
      </w:r>
    </w:p>
    <w:p w:rsidR="00E3163F" w:rsidRDefault="00E3163F" w:rsidP="00E3163F">
      <w:pPr>
        <w:pStyle w:val="ListParagraph"/>
        <w:numPr>
          <w:ilvl w:val="0"/>
          <w:numId w:val="13"/>
        </w:numPr>
        <w:jc w:val="both"/>
        <w:rPr>
          <w:rFonts w:ascii="Times New Roman" w:hAnsi="Times New Roman" w:cs="Times New Roman"/>
        </w:rPr>
      </w:pPr>
      <w:r>
        <w:rPr>
          <w:rFonts w:ascii="Times New Roman" w:hAnsi="Times New Roman" w:cs="Times New Roman"/>
        </w:rPr>
        <w:t>Циљне групе;</w:t>
      </w:r>
    </w:p>
    <w:p w:rsidR="00E3163F" w:rsidRDefault="00E3163F" w:rsidP="00E3163F">
      <w:pPr>
        <w:pStyle w:val="ListParagraph"/>
        <w:numPr>
          <w:ilvl w:val="0"/>
          <w:numId w:val="13"/>
        </w:numPr>
        <w:jc w:val="both"/>
        <w:rPr>
          <w:rFonts w:ascii="Times New Roman" w:hAnsi="Times New Roman" w:cs="Times New Roman"/>
        </w:rPr>
      </w:pPr>
      <w:r>
        <w:rPr>
          <w:rFonts w:ascii="Times New Roman" w:hAnsi="Times New Roman" w:cs="Times New Roman"/>
        </w:rPr>
        <w:t>Облик стручног усавршавања;</w:t>
      </w:r>
    </w:p>
    <w:p w:rsidR="00E3163F" w:rsidRDefault="00E3163F" w:rsidP="00E3163F">
      <w:pPr>
        <w:pStyle w:val="ListParagraph"/>
        <w:numPr>
          <w:ilvl w:val="0"/>
          <w:numId w:val="13"/>
        </w:numPr>
        <w:jc w:val="both"/>
        <w:rPr>
          <w:rFonts w:ascii="Times New Roman" w:hAnsi="Times New Roman" w:cs="Times New Roman"/>
        </w:rPr>
      </w:pPr>
      <w:r>
        <w:rPr>
          <w:rFonts w:ascii="Times New Roman" w:hAnsi="Times New Roman" w:cs="Times New Roman"/>
        </w:rPr>
        <w:t>Број планираних полазника;</w:t>
      </w:r>
    </w:p>
    <w:p w:rsidR="00E3163F" w:rsidRDefault="00E3163F" w:rsidP="00E3163F">
      <w:pPr>
        <w:pStyle w:val="ListParagraph"/>
        <w:numPr>
          <w:ilvl w:val="0"/>
          <w:numId w:val="13"/>
        </w:numPr>
        <w:jc w:val="both"/>
        <w:rPr>
          <w:rFonts w:ascii="Times New Roman" w:hAnsi="Times New Roman" w:cs="Times New Roman"/>
        </w:rPr>
      </w:pPr>
      <w:r>
        <w:rPr>
          <w:rFonts w:ascii="Times New Roman" w:hAnsi="Times New Roman" w:cs="Times New Roman"/>
        </w:rPr>
        <w:t>Трајање обуке;</w:t>
      </w:r>
    </w:p>
    <w:p w:rsidR="00E3163F" w:rsidRDefault="00E3163F" w:rsidP="00E3163F">
      <w:pPr>
        <w:pStyle w:val="ListParagraph"/>
        <w:numPr>
          <w:ilvl w:val="0"/>
          <w:numId w:val="13"/>
        </w:numPr>
        <w:jc w:val="both"/>
        <w:rPr>
          <w:rFonts w:ascii="Times New Roman" w:hAnsi="Times New Roman" w:cs="Times New Roman"/>
        </w:rPr>
      </w:pPr>
      <w:r>
        <w:rPr>
          <w:rFonts w:ascii="Times New Roman" w:hAnsi="Times New Roman" w:cs="Times New Roman"/>
        </w:rPr>
        <w:t>Оквирно време/датум одржавања;</w:t>
      </w:r>
    </w:p>
    <w:p w:rsidR="00E3163F" w:rsidRDefault="00E3163F" w:rsidP="00E3163F">
      <w:pPr>
        <w:pStyle w:val="ListParagraph"/>
        <w:numPr>
          <w:ilvl w:val="0"/>
          <w:numId w:val="13"/>
        </w:numPr>
        <w:jc w:val="both"/>
        <w:rPr>
          <w:rFonts w:ascii="Times New Roman" w:hAnsi="Times New Roman" w:cs="Times New Roman"/>
        </w:rPr>
      </w:pPr>
      <w:r>
        <w:rPr>
          <w:rFonts w:ascii="Times New Roman" w:hAnsi="Times New Roman" w:cs="Times New Roman"/>
        </w:rPr>
        <w:t>Процењену вредност обуке или другог облика стручног усавршавања;</w:t>
      </w:r>
    </w:p>
    <w:p w:rsidR="00E3163F" w:rsidRDefault="00E3163F" w:rsidP="00E3163F">
      <w:pPr>
        <w:pStyle w:val="ListParagraph"/>
        <w:numPr>
          <w:ilvl w:val="0"/>
          <w:numId w:val="13"/>
        </w:numPr>
        <w:jc w:val="both"/>
        <w:rPr>
          <w:rFonts w:ascii="Times New Roman" w:hAnsi="Times New Roman" w:cs="Times New Roman"/>
        </w:rPr>
      </w:pPr>
      <w:r>
        <w:rPr>
          <w:rFonts w:ascii="Times New Roman" w:hAnsi="Times New Roman" w:cs="Times New Roman"/>
        </w:rPr>
        <w:t>Остале трошкове.</w:t>
      </w:r>
    </w:p>
    <w:p w:rsidR="00E3163F" w:rsidRPr="00E3163F" w:rsidRDefault="00E3163F" w:rsidP="00E3163F">
      <w:pPr>
        <w:pStyle w:val="ListParagraph"/>
        <w:ind w:left="1500"/>
        <w:jc w:val="both"/>
        <w:rPr>
          <w:rFonts w:ascii="Times New Roman" w:hAnsi="Times New Roman" w:cs="Times New Roman"/>
        </w:rPr>
      </w:pPr>
      <w:r>
        <w:rPr>
          <w:rFonts w:ascii="Times New Roman" w:hAnsi="Times New Roman" w:cs="Times New Roman"/>
        </w:rPr>
        <w:t xml:space="preserve"> </w:t>
      </w:r>
    </w:p>
    <w:p w:rsidR="00387FF1" w:rsidRPr="00E3163F" w:rsidRDefault="00387FF1" w:rsidP="00387FF1">
      <w:pPr>
        <w:pStyle w:val="ListParagraph"/>
        <w:ind w:left="0"/>
        <w:jc w:val="both"/>
        <w:rPr>
          <w:rFonts w:ascii="Times New Roman" w:hAnsi="Times New Roman" w:cs="Times New Roman"/>
          <w:b/>
        </w:rPr>
      </w:pPr>
      <w:r>
        <w:rPr>
          <w:rFonts w:ascii="Times New Roman" w:hAnsi="Times New Roman" w:cs="Times New Roman"/>
        </w:rPr>
        <w:tab/>
      </w:r>
      <w:r>
        <w:rPr>
          <w:rFonts w:ascii="Times New Roman" w:hAnsi="Times New Roman" w:cs="Times New Roman"/>
          <w:b/>
        </w:rPr>
        <w:t xml:space="preserve">6. </w:t>
      </w:r>
      <w:r w:rsidR="00E3163F">
        <w:rPr>
          <w:rFonts w:ascii="Times New Roman" w:hAnsi="Times New Roman" w:cs="Times New Roman"/>
          <w:b/>
        </w:rPr>
        <w:t>Усклађеност годишњег плана стручног усавршавања са буџетом</w:t>
      </w:r>
    </w:p>
    <w:p w:rsidR="00387FF1" w:rsidRDefault="00387FF1" w:rsidP="00387FF1">
      <w:pPr>
        <w:pStyle w:val="ListParagraph"/>
        <w:ind w:left="0"/>
        <w:jc w:val="both"/>
        <w:rPr>
          <w:rFonts w:ascii="Times New Roman" w:hAnsi="Times New Roman" w:cs="Times New Roman"/>
          <w:b/>
        </w:rPr>
      </w:pPr>
      <w:r>
        <w:rPr>
          <w:rFonts w:ascii="Times New Roman" w:hAnsi="Times New Roman" w:cs="Times New Roman"/>
          <w:b/>
        </w:rPr>
        <w:tab/>
      </w:r>
    </w:p>
    <w:p w:rsidR="004816E4" w:rsidRDefault="00387FF1" w:rsidP="00E3163F">
      <w:pPr>
        <w:pStyle w:val="ListParagraph"/>
        <w:ind w:left="0"/>
        <w:jc w:val="both"/>
        <w:rPr>
          <w:rFonts w:ascii="Times New Roman" w:hAnsi="Times New Roman" w:cs="Times New Roman"/>
        </w:rPr>
      </w:pPr>
      <w:r>
        <w:rPr>
          <w:rFonts w:ascii="Times New Roman" w:hAnsi="Times New Roman" w:cs="Times New Roman"/>
          <w:b/>
        </w:rPr>
        <w:tab/>
      </w:r>
      <w:r w:rsidR="00E3163F">
        <w:rPr>
          <w:rFonts w:ascii="Times New Roman" w:hAnsi="Times New Roman" w:cs="Times New Roman"/>
        </w:rPr>
        <w:t xml:space="preserve">Финансијски план за реализацију програма стручног усавршавања </w:t>
      </w:r>
      <w:r w:rsidR="004816E4">
        <w:rPr>
          <w:rFonts w:ascii="Times New Roman" w:hAnsi="Times New Roman" w:cs="Times New Roman"/>
        </w:rPr>
        <w:t>представља саставни део Обједињеног годишњег плана. Финансијским планом су обухваћени сви трошкови планираних обука или других обила стручног усавршавања, укључујући:</w:t>
      </w:r>
    </w:p>
    <w:p w:rsidR="004816E4" w:rsidRDefault="004816E4" w:rsidP="004816E4">
      <w:pPr>
        <w:pStyle w:val="ListParagraph"/>
        <w:numPr>
          <w:ilvl w:val="0"/>
          <w:numId w:val="14"/>
        </w:numPr>
        <w:jc w:val="both"/>
        <w:rPr>
          <w:rFonts w:ascii="Times New Roman" w:hAnsi="Times New Roman" w:cs="Times New Roman"/>
        </w:rPr>
      </w:pPr>
      <w:r>
        <w:rPr>
          <w:rFonts w:ascii="Times New Roman" w:hAnsi="Times New Roman" w:cs="Times New Roman"/>
        </w:rPr>
        <w:t>Цену котизације;</w:t>
      </w:r>
    </w:p>
    <w:p w:rsidR="004816E4" w:rsidRDefault="004816E4" w:rsidP="004816E4">
      <w:pPr>
        <w:pStyle w:val="ListParagraph"/>
        <w:numPr>
          <w:ilvl w:val="0"/>
          <w:numId w:val="14"/>
        </w:numPr>
        <w:jc w:val="both"/>
        <w:rPr>
          <w:rFonts w:ascii="Times New Roman" w:hAnsi="Times New Roman" w:cs="Times New Roman"/>
        </w:rPr>
      </w:pPr>
      <w:r w:rsidRPr="004816E4">
        <w:rPr>
          <w:rFonts w:ascii="Times New Roman" w:hAnsi="Times New Roman" w:cs="Times New Roman"/>
        </w:rPr>
        <w:lastRenderedPageBreak/>
        <w:t xml:space="preserve">Цену обуке/обука и других видова стручног усавршавања </w:t>
      </w:r>
      <w:r w:rsidR="00E3163F" w:rsidRPr="004816E4">
        <w:rPr>
          <w:rFonts w:ascii="Times New Roman" w:hAnsi="Times New Roman" w:cs="Times New Roman"/>
        </w:rPr>
        <w:t xml:space="preserve">који ће се нарућити </w:t>
      </w:r>
      <w:r w:rsidRPr="004816E4">
        <w:rPr>
          <w:rFonts w:ascii="Times New Roman" w:hAnsi="Times New Roman" w:cs="Times New Roman"/>
        </w:rPr>
        <w:t>у складу са планираним посебним програмима стручног усавршавања (трошкове ангажованог људства:тренери, коучи,</w:t>
      </w:r>
      <w:r>
        <w:rPr>
          <w:rFonts w:ascii="Times New Roman" w:hAnsi="Times New Roman" w:cs="Times New Roman"/>
        </w:rPr>
        <w:t xml:space="preserve"> индивидуални саветници, ментори, асистенти и сл.);</w:t>
      </w:r>
      <w:r w:rsidRPr="004816E4">
        <w:rPr>
          <w:rFonts w:ascii="Times New Roman" w:hAnsi="Times New Roman" w:cs="Times New Roman"/>
        </w:rPr>
        <w:t xml:space="preserve"> </w:t>
      </w:r>
    </w:p>
    <w:p w:rsidR="004816E4" w:rsidRDefault="004816E4" w:rsidP="004816E4">
      <w:pPr>
        <w:pStyle w:val="ListParagraph"/>
        <w:numPr>
          <w:ilvl w:val="0"/>
          <w:numId w:val="14"/>
        </w:numPr>
        <w:jc w:val="both"/>
        <w:rPr>
          <w:rFonts w:ascii="Times New Roman" w:hAnsi="Times New Roman" w:cs="Times New Roman"/>
        </w:rPr>
      </w:pPr>
      <w:r w:rsidRPr="004816E4">
        <w:rPr>
          <w:rFonts w:ascii="Times New Roman" w:hAnsi="Times New Roman" w:cs="Times New Roman"/>
        </w:rPr>
        <w:t xml:space="preserve">Путне трошкове, </w:t>
      </w:r>
      <w:r>
        <w:rPr>
          <w:rFonts w:ascii="Times New Roman" w:hAnsi="Times New Roman" w:cs="Times New Roman"/>
        </w:rPr>
        <w:t>дневнице и трошкове смештаја (и за програме општег и посебног стручног усавршавања);</w:t>
      </w:r>
    </w:p>
    <w:p w:rsidR="004816E4" w:rsidRDefault="004816E4" w:rsidP="004816E4">
      <w:pPr>
        <w:pStyle w:val="ListParagraph"/>
        <w:numPr>
          <w:ilvl w:val="0"/>
          <w:numId w:val="14"/>
        </w:numPr>
        <w:jc w:val="both"/>
        <w:rPr>
          <w:rFonts w:ascii="Times New Roman" w:hAnsi="Times New Roman" w:cs="Times New Roman"/>
        </w:rPr>
      </w:pPr>
      <w:r>
        <w:rPr>
          <w:rFonts w:ascii="Times New Roman" w:hAnsi="Times New Roman" w:cs="Times New Roman"/>
        </w:rPr>
        <w:t>Трошкове материјала (папир, фломастери, флипцарт папир, копирање и сл.);</w:t>
      </w:r>
    </w:p>
    <w:p w:rsidR="004816E4" w:rsidRDefault="004816E4" w:rsidP="004816E4">
      <w:pPr>
        <w:pStyle w:val="ListParagraph"/>
        <w:numPr>
          <w:ilvl w:val="0"/>
          <w:numId w:val="14"/>
        </w:numPr>
        <w:jc w:val="both"/>
        <w:rPr>
          <w:rFonts w:ascii="Times New Roman" w:hAnsi="Times New Roman" w:cs="Times New Roman"/>
        </w:rPr>
      </w:pPr>
      <w:r>
        <w:rPr>
          <w:rFonts w:ascii="Times New Roman" w:hAnsi="Times New Roman" w:cs="Times New Roman"/>
        </w:rPr>
        <w:t>Остале трошкове.</w:t>
      </w:r>
    </w:p>
    <w:p w:rsidR="004816E4" w:rsidRDefault="004816E4" w:rsidP="004816E4">
      <w:pPr>
        <w:pStyle w:val="ListParagraph"/>
        <w:ind w:left="1440"/>
        <w:jc w:val="both"/>
        <w:rPr>
          <w:rFonts w:ascii="Times New Roman" w:hAnsi="Times New Roman" w:cs="Times New Roman"/>
        </w:rPr>
      </w:pPr>
    </w:p>
    <w:p w:rsidR="00322E01" w:rsidRDefault="004816E4" w:rsidP="004816E4">
      <w:pPr>
        <w:pStyle w:val="ListParagraph"/>
        <w:tabs>
          <w:tab w:val="left" w:pos="0"/>
        </w:tabs>
        <w:ind w:left="0"/>
        <w:jc w:val="both"/>
        <w:rPr>
          <w:rFonts w:ascii="Times New Roman" w:hAnsi="Times New Roman" w:cs="Times New Roman"/>
        </w:rPr>
      </w:pPr>
      <w:r>
        <w:rPr>
          <w:rFonts w:ascii="Times New Roman" w:hAnsi="Times New Roman" w:cs="Times New Roman"/>
        </w:rPr>
        <w:tab/>
        <w:t>Средстава предвиђена финансијским планом предвиђена су у Нацрту Одлуке о буџету за следећу годину.</w:t>
      </w:r>
    </w:p>
    <w:p w:rsidR="004816E4" w:rsidRDefault="004816E4" w:rsidP="004816E4">
      <w:pPr>
        <w:pStyle w:val="ListParagraph"/>
        <w:tabs>
          <w:tab w:val="left" w:pos="0"/>
        </w:tabs>
        <w:ind w:left="0"/>
        <w:jc w:val="both"/>
        <w:rPr>
          <w:rFonts w:ascii="Times New Roman" w:hAnsi="Times New Roman" w:cs="Times New Roman"/>
          <w:b/>
        </w:rPr>
      </w:pPr>
    </w:p>
    <w:p w:rsidR="00B80A03" w:rsidRPr="004816E4" w:rsidRDefault="001D3A9A" w:rsidP="00B80A03">
      <w:pPr>
        <w:rPr>
          <w:rFonts w:ascii="Times New Roman" w:hAnsi="Times New Roman" w:cs="Times New Roman"/>
          <w:b/>
        </w:rPr>
      </w:pPr>
      <w:r>
        <w:rPr>
          <w:rFonts w:ascii="Times New Roman" w:hAnsi="Times New Roman" w:cs="Times New Roman"/>
          <w:b/>
        </w:rPr>
        <w:tab/>
        <w:t>7.</w:t>
      </w:r>
      <w:r w:rsidR="00B80A03" w:rsidRPr="00FC0A9E">
        <w:rPr>
          <w:rFonts w:ascii="Times New Roman" w:hAnsi="Times New Roman" w:cs="Times New Roman"/>
          <w:b/>
        </w:rPr>
        <w:t xml:space="preserve"> </w:t>
      </w:r>
      <w:r w:rsidR="004816E4">
        <w:rPr>
          <w:rFonts w:ascii="Times New Roman" w:hAnsi="Times New Roman" w:cs="Times New Roman"/>
          <w:b/>
        </w:rPr>
        <w:t>Избор пружилаца услуга и спровођење обуке</w:t>
      </w:r>
    </w:p>
    <w:p w:rsidR="004816E4" w:rsidRDefault="00B80A03" w:rsidP="00A0056A">
      <w:pPr>
        <w:jc w:val="both"/>
        <w:rPr>
          <w:rFonts w:ascii="Times New Roman" w:hAnsi="Times New Roman" w:cs="Times New Roman"/>
        </w:rPr>
      </w:pPr>
      <w:r w:rsidRPr="00FC0A9E">
        <w:rPr>
          <w:rFonts w:ascii="Times New Roman" w:hAnsi="Times New Roman" w:cs="Times New Roman"/>
        </w:rPr>
        <w:tab/>
      </w:r>
      <w:r w:rsidR="004816E4">
        <w:rPr>
          <w:rFonts w:ascii="Times New Roman" w:hAnsi="Times New Roman" w:cs="Times New Roman"/>
        </w:rPr>
        <w:t>Избор пружалаца услуга стручног усавршавања врши се путем поступка јавне набавке, у складу са прописима  којима је уређен поступак јавне набавке и у складу са условима из Обједињеног годишњег програма стручног усавршавања и посебних програма стручног усавршавања.</w:t>
      </w:r>
    </w:p>
    <w:p w:rsidR="001D3A9A" w:rsidRDefault="004816E4" w:rsidP="00A0056A">
      <w:pPr>
        <w:jc w:val="both"/>
        <w:rPr>
          <w:rFonts w:ascii="Times New Roman" w:hAnsi="Times New Roman" w:cs="Times New Roman"/>
        </w:rPr>
      </w:pPr>
      <w:r>
        <w:rPr>
          <w:rFonts w:ascii="Times New Roman" w:hAnsi="Times New Roman" w:cs="Times New Roman"/>
        </w:rPr>
        <w:tab/>
      </w:r>
      <w:r w:rsidR="00A0056A">
        <w:rPr>
          <w:rFonts w:ascii="Times New Roman" w:hAnsi="Times New Roman" w:cs="Times New Roman"/>
        </w:rPr>
        <w:t>Службеник за управљање људским ресурсима одговоран је за спровођење стручног усавршавања и организацију обука, у складу са Обједињеним годишњим планом стручног усавршавања.</w:t>
      </w:r>
    </w:p>
    <w:p w:rsidR="001D3A9A" w:rsidRDefault="001D3A9A" w:rsidP="001D3A9A">
      <w:pPr>
        <w:pStyle w:val="ListParagraph"/>
        <w:rPr>
          <w:rFonts w:ascii="Times New Roman" w:hAnsi="Times New Roman" w:cs="Times New Roman"/>
          <w:b/>
        </w:rPr>
      </w:pPr>
      <w:r>
        <w:rPr>
          <w:rFonts w:ascii="Times New Roman" w:hAnsi="Times New Roman" w:cs="Times New Roman"/>
          <w:b/>
        </w:rPr>
        <w:t>8. Документовање рада сваког запосленог</w:t>
      </w:r>
    </w:p>
    <w:p w:rsidR="001D3A9A" w:rsidRDefault="001D3A9A" w:rsidP="001D3A9A">
      <w:pPr>
        <w:pStyle w:val="ListParagraph"/>
        <w:rPr>
          <w:rFonts w:ascii="Times New Roman" w:hAnsi="Times New Roman" w:cs="Times New Roman"/>
          <w:b/>
        </w:rPr>
      </w:pPr>
    </w:p>
    <w:p w:rsidR="00A158B1" w:rsidRDefault="00A0056A" w:rsidP="00A0056A">
      <w:pPr>
        <w:pStyle w:val="ListParagraph"/>
        <w:spacing w:after="0"/>
        <w:ind w:left="0"/>
        <w:jc w:val="both"/>
        <w:rPr>
          <w:rFonts w:ascii="Times New Roman" w:hAnsi="Times New Roman" w:cs="Times New Roman"/>
        </w:rPr>
      </w:pPr>
      <w:r>
        <w:rPr>
          <w:rFonts w:ascii="Times New Roman" w:hAnsi="Times New Roman" w:cs="Times New Roman"/>
        </w:rPr>
        <w:tab/>
        <w:t>Сви руководиоци организационих једница општинске управе прате резултате и ефекте обука на индивидуалном нивоу, у смислу стечених знања и вештина запослених који су се стручно усавршавали, као и начина на који се они примењују на радном месту и на који начин то утиче на побољшање учинка запослених (може се утврдити порастом годишњих оцена).</w:t>
      </w:r>
    </w:p>
    <w:p w:rsidR="00A0056A" w:rsidRDefault="00A0056A" w:rsidP="00A0056A">
      <w:pPr>
        <w:pStyle w:val="ListParagraph"/>
        <w:spacing w:after="0"/>
        <w:ind w:left="0"/>
        <w:jc w:val="both"/>
        <w:rPr>
          <w:rFonts w:ascii="Times New Roman" w:hAnsi="Times New Roman" w:cs="Times New Roman"/>
        </w:rPr>
      </w:pPr>
    </w:p>
    <w:p w:rsidR="00A0056A" w:rsidRDefault="00A0056A" w:rsidP="00A0056A">
      <w:pPr>
        <w:pStyle w:val="ListParagraph"/>
        <w:spacing w:after="0"/>
        <w:ind w:left="0"/>
        <w:jc w:val="both"/>
        <w:rPr>
          <w:rFonts w:ascii="Times New Roman" w:hAnsi="Times New Roman" w:cs="Times New Roman"/>
        </w:rPr>
      </w:pPr>
      <w:r>
        <w:rPr>
          <w:rFonts w:ascii="Times New Roman" w:hAnsi="Times New Roman" w:cs="Times New Roman"/>
        </w:rPr>
        <w:tab/>
        <w:t>Они такође воде рачуна и о преносу знања колегама у општинској управи, којима се теме стручног усавршавања од значаја за обављање посла.</w:t>
      </w:r>
    </w:p>
    <w:p w:rsidR="00A0056A" w:rsidRPr="00A0056A" w:rsidRDefault="00A0056A" w:rsidP="00A0056A">
      <w:pPr>
        <w:pStyle w:val="ListParagraph"/>
        <w:spacing w:after="0"/>
        <w:ind w:left="0"/>
        <w:jc w:val="both"/>
        <w:rPr>
          <w:rFonts w:ascii="Times New Roman" w:hAnsi="Times New Roman" w:cs="Times New Roman"/>
        </w:rPr>
      </w:pPr>
    </w:p>
    <w:p w:rsidR="00736D37" w:rsidRDefault="00736D37" w:rsidP="00736D37">
      <w:pPr>
        <w:tabs>
          <w:tab w:val="left" w:pos="0"/>
        </w:tabs>
        <w:jc w:val="both"/>
        <w:rPr>
          <w:rFonts w:ascii="Times New Roman" w:hAnsi="Times New Roman" w:cs="Times New Roman"/>
        </w:rPr>
      </w:pPr>
      <w:r>
        <w:rPr>
          <w:rFonts w:ascii="Times New Roman" w:hAnsi="Times New Roman" w:cs="Times New Roman"/>
        </w:rPr>
        <w:tab/>
        <w:t>Овај акт објавити на интернет страници општине.</w:t>
      </w:r>
    </w:p>
    <w:p w:rsidR="00736D37" w:rsidRDefault="00736D37" w:rsidP="00736D37">
      <w:pPr>
        <w:tabs>
          <w:tab w:val="left" w:pos="0"/>
        </w:tabs>
        <w:jc w:val="both"/>
        <w:rPr>
          <w:rFonts w:ascii="Times New Roman" w:hAnsi="Times New Roman" w:cs="Times New Roman"/>
        </w:rPr>
      </w:pPr>
    </w:p>
    <w:p w:rsidR="00A0056A" w:rsidRPr="00A0056A" w:rsidRDefault="00A0056A" w:rsidP="00736D37">
      <w:pPr>
        <w:tabs>
          <w:tab w:val="left" w:pos="0"/>
        </w:tabs>
        <w:jc w:val="both"/>
        <w:rPr>
          <w:rFonts w:ascii="Times New Roman" w:hAnsi="Times New Roman" w:cs="Times New Roman"/>
        </w:rPr>
      </w:pPr>
    </w:p>
    <w:p w:rsidR="00736D37" w:rsidRDefault="00736D37" w:rsidP="00736D37">
      <w:pPr>
        <w:pStyle w:val="ListParagraph"/>
        <w:tabs>
          <w:tab w:val="left" w:pos="0"/>
        </w:tabs>
        <w:spacing w:after="0"/>
        <w:ind w:left="0"/>
        <w:jc w:val="both"/>
        <w:rPr>
          <w:rFonts w:ascii="Times New Roman" w:hAnsi="Times New Roman" w:cs="Times New Roman"/>
        </w:rPr>
      </w:pPr>
      <w:r>
        <w:rPr>
          <w:rFonts w:ascii="Times New Roman" w:hAnsi="Times New Roman" w:cs="Times New Roman"/>
        </w:rPr>
        <w:t>У Бујановцу, дана 17.03.2021.године</w:t>
      </w:r>
    </w:p>
    <w:p w:rsidR="00A0056A" w:rsidRPr="00A0056A" w:rsidRDefault="00A0056A" w:rsidP="00736D37">
      <w:pPr>
        <w:pStyle w:val="ListParagraph"/>
        <w:tabs>
          <w:tab w:val="left" w:pos="0"/>
        </w:tabs>
        <w:spacing w:after="0"/>
        <w:ind w:left="0"/>
        <w:jc w:val="both"/>
        <w:rPr>
          <w:rFonts w:ascii="Times New Roman" w:hAnsi="Times New Roman" w:cs="Times New Roman"/>
        </w:rPr>
      </w:pPr>
    </w:p>
    <w:p w:rsidR="00736D37" w:rsidRPr="00736D37" w:rsidRDefault="00736D37" w:rsidP="00736D37">
      <w:pPr>
        <w:pStyle w:val="ListParagraph"/>
        <w:tabs>
          <w:tab w:val="left" w:pos="0"/>
        </w:tabs>
        <w:spacing w:after="0"/>
        <w:ind w:left="0"/>
        <w:jc w:val="both"/>
        <w:rPr>
          <w:rFonts w:ascii="Times New Roman" w:hAnsi="Times New Roman" w:cs="Times New Roman"/>
        </w:rPr>
      </w:pPr>
    </w:p>
    <w:p w:rsidR="008632A1" w:rsidRPr="008632A1" w:rsidRDefault="008632A1" w:rsidP="008632A1">
      <w:pPr>
        <w:spacing w:after="0"/>
        <w:jc w:val="right"/>
        <w:rPr>
          <w:rFonts w:ascii="Times New Roman" w:hAnsi="Times New Roman" w:cs="Times New Roman"/>
          <w:b/>
        </w:rPr>
      </w:pPr>
      <w:r w:rsidRPr="008632A1">
        <w:rPr>
          <w:rFonts w:ascii="Times New Roman" w:hAnsi="Times New Roman" w:cs="Times New Roman"/>
          <w:b/>
        </w:rPr>
        <w:t>Начелник Општинске Управе Бујановац,</w:t>
      </w:r>
    </w:p>
    <w:p w:rsidR="00736D37" w:rsidRPr="008632A1" w:rsidRDefault="008632A1" w:rsidP="008632A1">
      <w:pPr>
        <w:tabs>
          <w:tab w:val="left" w:pos="0"/>
        </w:tabs>
        <w:spacing w:after="0"/>
        <w:jc w:val="right"/>
        <w:rPr>
          <w:rFonts w:ascii="Times New Roman" w:hAnsi="Times New Roman" w:cs="Times New Roman"/>
          <w:b/>
        </w:rPr>
      </w:pPr>
      <w:r w:rsidRPr="008632A1">
        <w:rPr>
          <w:rFonts w:ascii="Times New Roman" w:hAnsi="Times New Roman" w:cs="Times New Roman"/>
          <w:b/>
        </w:rPr>
        <w:t>Насим Реџепи</w:t>
      </w:r>
      <w:r w:rsidRPr="008632A1">
        <w:rPr>
          <w:rFonts w:ascii="Times New Roman" w:hAnsi="Times New Roman" w:cs="Times New Roman"/>
          <w:b/>
          <w:lang/>
        </w:rPr>
        <w:t xml:space="preserve"> с.р</w:t>
      </w:r>
    </w:p>
    <w:p w:rsidR="00736D37" w:rsidRDefault="00736D37" w:rsidP="008632A1">
      <w:pPr>
        <w:tabs>
          <w:tab w:val="left" w:pos="0"/>
        </w:tabs>
        <w:spacing w:after="0"/>
        <w:rPr>
          <w:rFonts w:ascii="Times New Roman" w:hAnsi="Times New Roman" w:cs="Times New Roman"/>
        </w:rPr>
      </w:pPr>
    </w:p>
    <w:p w:rsidR="00736D37" w:rsidRDefault="00736D37" w:rsidP="00736D37">
      <w:pPr>
        <w:tabs>
          <w:tab w:val="left" w:pos="0"/>
        </w:tabs>
        <w:rPr>
          <w:rFonts w:ascii="Times New Roman" w:hAnsi="Times New Roman" w:cs="Times New Roman"/>
        </w:rPr>
      </w:pPr>
    </w:p>
    <w:p w:rsidR="00736D37" w:rsidRDefault="00736D37" w:rsidP="00736D37">
      <w:pPr>
        <w:tabs>
          <w:tab w:val="left" w:pos="0"/>
        </w:tabs>
        <w:rPr>
          <w:rFonts w:ascii="Times New Roman" w:hAnsi="Times New Roman" w:cs="Times New Roman"/>
        </w:rPr>
      </w:pPr>
    </w:p>
    <w:tbl>
      <w:tblPr>
        <w:tblStyle w:val="TableGrid"/>
        <w:tblpPr w:leftFromText="180" w:rightFromText="180" w:horzAnchor="margin" w:tblpY="1230"/>
        <w:tblW w:w="0" w:type="auto"/>
        <w:tblLayout w:type="fixed"/>
        <w:tblLook w:val="04A0"/>
      </w:tblPr>
      <w:tblGrid>
        <w:gridCol w:w="957"/>
        <w:gridCol w:w="958"/>
        <w:gridCol w:w="957"/>
        <w:gridCol w:w="958"/>
        <w:gridCol w:w="958"/>
        <w:gridCol w:w="957"/>
        <w:gridCol w:w="958"/>
        <w:gridCol w:w="957"/>
        <w:gridCol w:w="958"/>
        <w:gridCol w:w="958"/>
      </w:tblGrid>
      <w:tr w:rsidR="00CE7127" w:rsidRPr="00BD778F" w:rsidTr="00CE7127">
        <w:trPr>
          <w:tblHeader/>
        </w:trPr>
        <w:tc>
          <w:tcPr>
            <w:tcW w:w="957" w:type="dxa"/>
            <w:shd w:val="clear" w:color="auto" w:fill="002060"/>
          </w:tcPr>
          <w:p w:rsidR="00CE7127" w:rsidRPr="00BD778F" w:rsidRDefault="00CE7127" w:rsidP="00CE7127">
            <w:pPr>
              <w:pStyle w:val="ListParagraph"/>
              <w:ind w:left="0"/>
              <w:jc w:val="center"/>
              <w:rPr>
                <w:b/>
              </w:rPr>
            </w:pPr>
            <w:r>
              <w:rPr>
                <w:b/>
              </w:rPr>
              <w:lastRenderedPageBreak/>
              <w:t>Бр</w:t>
            </w:r>
            <w:r w:rsidRPr="00BD778F">
              <w:rPr>
                <w:b/>
              </w:rPr>
              <w:t>.</w:t>
            </w:r>
          </w:p>
        </w:tc>
        <w:tc>
          <w:tcPr>
            <w:tcW w:w="958" w:type="dxa"/>
            <w:shd w:val="clear" w:color="auto" w:fill="002060"/>
          </w:tcPr>
          <w:p w:rsidR="00CE7127" w:rsidRPr="00A0056A" w:rsidRDefault="00CE7127" w:rsidP="00CE7127">
            <w:pPr>
              <w:pStyle w:val="ListParagraph"/>
              <w:ind w:left="0"/>
              <w:jc w:val="center"/>
              <w:rPr>
                <w:b/>
              </w:rPr>
            </w:pPr>
            <w:r>
              <w:rPr>
                <w:b/>
              </w:rPr>
              <w:t>Назив обуке</w:t>
            </w:r>
          </w:p>
        </w:tc>
        <w:tc>
          <w:tcPr>
            <w:tcW w:w="957" w:type="dxa"/>
            <w:shd w:val="clear" w:color="auto" w:fill="002060"/>
          </w:tcPr>
          <w:p w:rsidR="00CE7127" w:rsidRPr="00A0056A" w:rsidRDefault="00CE7127" w:rsidP="00CE7127">
            <w:pPr>
              <w:pStyle w:val="ListParagraph"/>
              <w:ind w:left="0"/>
              <w:jc w:val="center"/>
              <w:rPr>
                <w:b/>
              </w:rPr>
            </w:pPr>
            <w:r>
              <w:rPr>
                <w:b/>
              </w:rPr>
              <w:t>Општи/посебни програми</w:t>
            </w:r>
          </w:p>
        </w:tc>
        <w:tc>
          <w:tcPr>
            <w:tcW w:w="958" w:type="dxa"/>
            <w:shd w:val="clear" w:color="auto" w:fill="002060"/>
          </w:tcPr>
          <w:p w:rsidR="00CE7127" w:rsidRPr="00A0056A" w:rsidRDefault="00CE7127" w:rsidP="00CE7127">
            <w:pPr>
              <w:pStyle w:val="ListParagraph"/>
              <w:ind w:left="0"/>
              <w:jc w:val="center"/>
              <w:rPr>
                <w:b/>
              </w:rPr>
            </w:pPr>
            <w:r>
              <w:rPr>
                <w:b/>
              </w:rPr>
              <w:t>Циљна група</w:t>
            </w:r>
          </w:p>
        </w:tc>
        <w:tc>
          <w:tcPr>
            <w:tcW w:w="958" w:type="dxa"/>
            <w:shd w:val="clear" w:color="auto" w:fill="002060"/>
          </w:tcPr>
          <w:p w:rsidR="00CE7127" w:rsidRPr="00A0056A" w:rsidRDefault="00CE7127" w:rsidP="00CE7127">
            <w:pPr>
              <w:pStyle w:val="ListParagraph"/>
              <w:ind w:left="0"/>
              <w:jc w:val="center"/>
              <w:rPr>
                <w:b/>
              </w:rPr>
            </w:pPr>
            <w:r>
              <w:rPr>
                <w:b/>
              </w:rPr>
              <w:t>Облик стручног усавршавања (обука, радионица, округли сто, студијско пуованње и сл)</w:t>
            </w:r>
          </w:p>
        </w:tc>
        <w:tc>
          <w:tcPr>
            <w:tcW w:w="957" w:type="dxa"/>
            <w:shd w:val="clear" w:color="auto" w:fill="002060"/>
          </w:tcPr>
          <w:p w:rsidR="00CE7127" w:rsidRPr="00CE7127" w:rsidRDefault="00CE7127" w:rsidP="00CE7127">
            <w:pPr>
              <w:pStyle w:val="ListParagraph"/>
              <w:ind w:left="0"/>
              <w:jc w:val="center"/>
              <w:rPr>
                <w:b/>
              </w:rPr>
            </w:pPr>
            <w:r>
              <w:rPr>
                <w:b/>
              </w:rPr>
              <w:t>Број планираних полазника</w:t>
            </w:r>
          </w:p>
        </w:tc>
        <w:tc>
          <w:tcPr>
            <w:tcW w:w="958" w:type="dxa"/>
            <w:shd w:val="clear" w:color="auto" w:fill="002060"/>
          </w:tcPr>
          <w:p w:rsidR="00CE7127" w:rsidRPr="00CE7127" w:rsidRDefault="00CE7127" w:rsidP="00CE7127">
            <w:pPr>
              <w:pStyle w:val="ListParagraph"/>
              <w:ind w:left="0"/>
              <w:jc w:val="center"/>
              <w:rPr>
                <w:b/>
              </w:rPr>
            </w:pPr>
            <w:r>
              <w:rPr>
                <w:b/>
              </w:rPr>
              <w:t xml:space="preserve">Трајање обуке </w:t>
            </w:r>
          </w:p>
        </w:tc>
        <w:tc>
          <w:tcPr>
            <w:tcW w:w="957" w:type="dxa"/>
            <w:shd w:val="clear" w:color="auto" w:fill="002060"/>
          </w:tcPr>
          <w:p w:rsidR="00CE7127" w:rsidRPr="00BD778F" w:rsidRDefault="00CE7127" w:rsidP="00CE7127">
            <w:pPr>
              <w:pStyle w:val="ListParagraph"/>
              <w:ind w:left="0"/>
              <w:jc w:val="center"/>
              <w:rPr>
                <w:b/>
              </w:rPr>
            </w:pPr>
            <w:r>
              <w:rPr>
                <w:b/>
              </w:rPr>
              <w:t>Оквирно време/датум одржавања</w:t>
            </w:r>
          </w:p>
        </w:tc>
        <w:tc>
          <w:tcPr>
            <w:tcW w:w="958" w:type="dxa"/>
            <w:shd w:val="clear" w:color="auto" w:fill="C00000"/>
          </w:tcPr>
          <w:p w:rsidR="00CE7127" w:rsidRPr="00BD778F" w:rsidRDefault="00CE7127" w:rsidP="00CE7127">
            <w:pPr>
              <w:pStyle w:val="ListParagraph"/>
              <w:ind w:left="0"/>
              <w:jc w:val="center"/>
              <w:rPr>
                <w:b/>
              </w:rPr>
            </w:pPr>
            <w:r>
              <w:rPr>
                <w:b/>
              </w:rPr>
              <w:t>Процењена вредност обуке или другог облика</w:t>
            </w:r>
            <w:r w:rsidRPr="00BD778F">
              <w:rPr>
                <w:b/>
              </w:rPr>
              <w:t xml:space="preserve"> (1)</w:t>
            </w:r>
          </w:p>
        </w:tc>
        <w:tc>
          <w:tcPr>
            <w:tcW w:w="958" w:type="dxa"/>
            <w:shd w:val="clear" w:color="auto" w:fill="C00000"/>
          </w:tcPr>
          <w:p w:rsidR="00CE7127" w:rsidRPr="00CE7127" w:rsidRDefault="00CE7127" w:rsidP="00CE7127">
            <w:pPr>
              <w:pStyle w:val="ListParagraph"/>
              <w:ind w:left="0"/>
              <w:jc w:val="center"/>
              <w:rPr>
                <w:b/>
              </w:rPr>
            </w:pPr>
            <w:r>
              <w:rPr>
                <w:b/>
              </w:rPr>
              <w:t>Економска класификација(веза са буџетом)</w:t>
            </w:r>
          </w:p>
        </w:tc>
      </w:tr>
      <w:tr w:rsidR="00CE7127" w:rsidRPr="00BD778F" w:rsidTr="00CE7127">
        <w:tc>
          <w:tcPr>
            <w:tcW w:w="957" w:type="dxa"/>
            <w:shd w:val="clear" w:color="auto" w:fill="DBE5F1" w:themeFill="accent1" w:themeFillTint="33"/>
          </w:tcPr>
          <w:p w:rsidR="00CE7127" w:rsidRPr="00CE7127" w:rsidRDefault="00CE7127" w:rsidP="00CE7127">
            <w:pPr>
              <w:pStyle w:val="ListParagraph"/>
              <w:ind w:left="0"/>
              <w:jc w:val="center"/>
              <w:rPr>
                <w:b/>
              </w:rPr>
            </w:pPr>
            <w:r>
              <w:rPr>
                <w:b/>
              </w:rPr>
              <w:t>1.</w:t>
            </w:r>
          </w:p>
        </w:tc>
        <w:tc>
          <w:tcPr>
            <w:tcW w:w="958" w:type="dxa"/>
            <w:shd w:val="clear" w:color="auto" w:fill="DBE5F1" w:themeFill="accent1" w:themeFillTint="33"/>
          </w:tcPr>
          <w:p w:rsidR="00CE7127" w:rsidRPr="00BD778F" w:rsidRDefault="00CE7127" w:rsidP="00CE7127">
            <w:pPr>
              <w:pStyle w:val="ListParagraph"/>
              <w:ind w:left="0"/>
              <w:jc w:val="center"/>
              <w:rPr>
                <w:b/>
              </w:rPr>
            </w:pPr>
          </w:p>
        </w:tc>
        <w:tc>
          <w:tcPr>
            <w:tcW w:w="957" w:type="dxa"/>
            <w:shd w:val="clear" w:color="auto" w:fill="DBE5F1" w:themeFill="accent1" w:themeFillTint="33"/>
          </w:tcPr>
          <w:p w:rsidR="00CE7127" w:rsidRPr="00BD778F" w:rsidRDefault="00CE7127" w:rsidP="00CE7127">
            <w:pPr>
              <w:pStyle w:val="ListParagraph"/>
              <w:ind w:left="0"/>
              <w:jc w:val="center"/>
              <w:rPr>
                <w:b/>
              </w:rPr>
            </w:pPr>
          </w:p>
        </w:tc>
        <w:tc>
          <w:tcPr>
            <w:tcW w:w="958" w:type="dxa"/>
            <w:shd w:val="clear" w:color="auto" w:fill="DBE5F1" w:themeFill="accent1" w:themeFillTint="33"/>
          </w:tcPr>
          <w:p w:rsidR="00CE7127" w:rsidRPr="00BD778F" w:rsidRDefault="00CE7127" w:rsidP="00CE7127">
            <w:pPr>
              <w:pStyle w:val="ListParagraph"/>
              <w:ind w:left="0"/>
              <w:jc w:val="center"/>
              <w:rPr>
                <w:b/>
              </w:rPr>
            </w:pPr>
          </w:p>
        </w:tc>
        <w:tc>
          <w:tcPr>
            <w:tcW w:w="958" w:type="dxa"/>
            <w:shd w:val="clear" w:color="auto" w:fill="DBE5F1" w:themeFill="accent1" w:themeFillTint="33"/>
          </w:tcPr>
          <w:p w:rsidR="00CE7127" w:rsidRPr="00BD778F" w:rsidRDefault="00CE7127" w:rsidP="00CE7127">
            <w:pPr>
              <w:pStyle w:val="ListParagraph"/>
              <w:ind w:left="0"/>
              <w:jc w:val="center"/>
              <w:rPr>
                <w:b/>
              </w:rPr>
            </w:pPr>
          </w:p>
        </w:tc>
        <w:tc>
          <w:tcPr>
            <w:tcW w:w="957" w:type="dxa"/>
            <w:shd w:val="clear" w:color="auto" w:fill="DBE5F1" w:themeFill="accent1" w:themeFillTint="33"/>
          </w:tcPr>
          <w:p w:rsidR="00CE7127" w:rsidRPr="00BD778F" w:rsidRDefault="00CE7127" w:rsidP="00CE7127">
            <w:pPr>
              <w:pStyle w:val="ListParagraph"/>
              <w:ind w:left="0"/>
              <w:jc w:val="center"/>
              <w:rPr>
                <w:b/>
              </w:rPr>
            </w:pPr>
          </w:p>
        </w:tc>
        <w:tc>
          <w:tcPr>
            <w:tcW w:w="958" w:type="dxa"/>
            <w:shd w:val="clear" w:color="auto" w:fill="DBE5F1" w:themeFill="accent1" w:themeFillTint="33"/>
          </w:tcPr>
          <w:p w:rsidR="00CE7127" w:rsidRPr="00BD778F" w:rsidRDefault="00CE7127" w:rsidP="00CE7127">
            <w:pPr>
              <w:pStyle w:val="ListParagraph"/>
              <w:ind w:left="0"/>
              <w:jc w:val="center"/>
              <w:rPr>
                <w:b/>
              </w:rPr>
            </w:pPr>
          </w:p>
        </w:tc>
        <w:tc>
          <w:tcPr>
            <w:tcW w:w="957" w:type="dxa"/>
            <w:shd w:val="clear" w:color="auto" w:fill="DBE5F1" w:themeFill="accent1" w:themeFillTint="33"/>
          </w:tcPr>
          <w:p w:rsidR="00CE7127" w:rsidRPr="00BD778F" w:rsidRDefault="00CE7127" w:rsidP="00CE7127">
            <w:pPr>
              <w:pStyle w:val="ListParagraph"/>
              <w:ind w:left="0"/>
              <w:rPr>
                <w:b/>
              </w:rPr>
            </w:pPr>
          </w:p>
        </w:tc>
        <w:tc>
          <w:tcPr>
            <w:tcW w:w="958" w:type="dxa"/>
            <w:shd w:val="clear" w:color="auto" w:fill="F2DBDB" w:themeFill="accent2" w:themeFillTint="33"/>
          </w:tcPr>
          <w:p w:rsidR="00CE7127" w:rsidRPr="00BD778F" w:rsidRDefault="00CE7127" w:rsidP="00CE7127">
            <w:pPr>
              <w:pStyle w:val="ListParagraph"/>
              <w:ind w:left="0"/>
              <w:jc w:val="center"/>
              <w:rPr>
                <w:b/>
              </w:rPr>
            </w:pPr>
          </w:p>
        </w:tc>
        <w:tc>
          <w:tcPr>
            <w:tcW w:w="958" w:type="dxa"/>
            <w:shd w:val="clear" w:color="auto" w:fill="F2DBDB" w:themeFill="accent2" w:themeFillTint="33"/>
          </w:tcPr>
          <w:p w:rsidR="00CE7127" w:rsidRPr="00BD778F" w:rsidRDefault="00CE7127" w:rsidP="00CE7127">
            <w:pPr>
              <w:pStyle w:val="ListParagraph"/>
              <w:ind w:left="0"/>
              <w:jc w:val="center"/>
            </w:pPr>
          </w:p>
        </w:tc>
      </w:tr>
      <w:tr w:rsidR="00CE7127" w:rsidRPr="00BD778F" w:rsidTr="00CE7127">
        <w:tc>
          <w:tcPr>
            <w:tcW w:w="957" w:type="dxa"/>
          </w:tcPr>
          <w:p w:rsidR="00CE7127" w:rsidRPr="00CE7127" w:rsidRDefault="00CE7127" w:rsidP="00CE7127">
            <w:pPr>
              <w:pStyle w:val="ListParagraph"/>
              <w:ind w:left="0"/>
              <w:jc w:val="center"/>
              <w:rPr>
                <w:b/>
              </w:rPr>
            </w:pPr>
            <w:r>
              <w:rPr>
                <w:b/>
              </w:rPr>
              <w:t>2.</w:t>
            </w:r>
          </w:p>
        </w:tc>
        <w:tc>
          <w:tcPr>
            <w:tcW w:w="958" w:type="dxa"/>
          </w:tcPr>
          <w:p w:rsidR="00CE7127" w:rsidRPr="00BD778F" w:rsidRDefault="00CE7127" w:rsidP="00CE7127">
            <w:pPr>
              <w:pStyle w:val="ListParagraph"/>
              <w:ind w:left="0"/>
              <w:jc w:val="center"/>
              <w:rPr>
                <w:b/>
              </w:rPr>
            </w:pPr>
          </w:p>
        </w:tc>
        <w:tc>
          <w:tcPr>
            <w:tcW w:w="957" w:type="dxa"/>
          </w:tcPr>
          <w:p w:rsidR="00CE7127" w:rsidRPr="00BD778F" w:rsidRDefault="00CE7127" w:rsidP="00CE7127">
            <w:pPr>
              <w:pStyle w:val="ListParagraph"/>
              <w:ind w:left="0"/>
              <w:jc w:val="center"/>
              <w:rPr>
                <w:b/>
              </w:rPr>
            </w:pPr>
          </w:p>
        </w:tc>
        <w:tc>
          <w:tcPr>
            <w:tcW w:w="958" w:type="dxa"/>
          </w:tcPr>
          <w:p w:rsidR="00CE7127" w:rsidRPr="00BD778F" w:rsidRDefault="00CE7127" w:rsidP="00CE7127">
            <w:pPr>
              <w:pStyle w:val="ListParagraph"/>
              <w:ind w:left="0"/>
              <w:jc w:val="center"/>
              <w:rPr>
                <w:b/>
              </w:rPr>
            </w:pPr>
          </w:p>
        </w:tc>
        <w:tc>
          <w:tcPr>
            <w:tcW w:w="958" w:type="dxa"/>
          </w:tcPr>
          <w:p w:rsidR="00CE7127" w:rsidRPr="00BD778F" w:rsidRDefault="00CE7127" w:rsidP="00CE7127">
            <w:pPr>
              <w:pStyle w:val="ListParagraph"/>
              <w:ind w:left="0"/>
              <w:jc w:val="center"/>
              <w:rPr>
                <w:b/>
              </w:rPr>
            </w:pPr>
          </w:p>
        </w:tc>
        <w:tc>
          <w:tcPr>
            <w:tcW w:w="957" w:type="dxa"/>
          </w:tcPr>
          <w:p w:rsidR="00CE7127" w:rsidRPr="00BD778F" w:rsidRDefault="00CE7127" w:rsidP="00CE7127">
            <w:pPr>
              <w:pStyle w:val="ListParagraph"/>
              <w:ind w:left="0"/>
              <w:jc w:val="center"/>
              <w:rPr>
                <w:b/>
              </w:rPr>
            </w:pPr>
          </w:p>
        </w:tc>
        <w:tc>
          <w:tcPr>
            <w:tcW w:w="958" w:type="dxa"/>
          </w:tcPr>
          <w:p w:rsidR="00CE7127" w:rsidRPr="00BD778F" w:rsidRDefault="00CE7127" w:rsidP="00CE7127">
            <w:pPr>
              <w:pStyle w:val="ListParagraph"/>
              <w:ind w:left="0"/>
              <w:jc w:val="center"/>
              <w:rPr>
                <w:b/>
              </w:rPr>
            </w:pPr>
          </w:p>
        </w:tc>
        <w:tc>
          <w:tcPr>
            <w:tcW w:w="957" w:type="dxa"/>
          </w:tcPr>
          <w:p w:rsidR="00CE7127" w:rsidRPr="00BD778F" w:rsidRDefault="00CE7127" w:rsidP="00CE7127">
            <w:pPr>
              <w:pStyle w:val="ListParagraph"/>
              <w:ind w:left="0"/>
              <w:jc w:val="center"/>
              <w:rPr>
                <w:b/>
              </w:rPr>
            </w:pPr>
          </w:p>
        </w:tc>
        <w:tc>
          <w:tcPr>
            <w:tcW w:w="958" w:type="dxa"/>
            <w:shd w:val="clear" w:color="auto" w:fill="F2DBDB" w:themeFill="accent2" w:themeFillTint="33"/>
            <w:vAlign w:val="center"/>
          </w:tcPr>
          <w:p w:rsidR="00CE7127" w:rsidRPr="00BD778F" w:rsidRDefault="00CE7127" w:rsidP="00CE7127">
            <w:pPr>
              <w:pStyle w:val="ListParagraph"/>
              <w:ind w:left="0"/>
              <w:jc w:val="center"/>
              <w:rPr>
                <w:b/>
              </w:rPr>
            </w:pPr>
          </w:p>
        </w:tc>
        <w:tc>
          <w:tcPr>
            <w:tcW w:w="958" w:type="dxa"/>
            <w:shd w:val="clear" w:color="auto" w:fill="F2DBDB" w:themeFill="accent2" w:themeFillTint="33"/>
            <w:vAlign w:val="center"/>
          </w:tcPr>
          <w:p w:rsidR="00CE7127" w:rsidRPr="00BD778F" w:rsidRDefault="00CE7127" w:rsidP="00CE7127">
            <w:pPr>
              <w:pStyle w:val="ListParagraph"/>
              <w:ind w:left="0"/>
              <w:jc w:val="center"/>
              <w:rPr>
                <w:b/>
              </w:rPr>
            </w:pPr>
          </w:p>
        </w:tc>
      </w:tr>
      <w:tr w:rsidR="00CE7127" w:rsidRPr="00BD778F" w:rsidTr="00CE7127">
        <w:tc>
          <w:tcPr>
            <w:tcW w:w="957" w:type="dxa"/>
          </w:tcPr>
          <w:p w:rsidR="00CE7127" w:rsidRPr="00CE7127" w:rsidRDefault="00CE7127" w:rsidP="00CE7127">
            <w:pPr>
              <w:pStyle w:val="ListParagraph"/>
              <w:ind w:left="0"/>
              <w:jc w:val="center"/>
              <w:rPr>
                <w:b/>
              </w:rPr>
            </w:pPr>
            <w:r>
              <w:rPr>
                <w:b/>
              </w:rPr>
              <w:t>3.</w:t>
            </w:r>
          </w:p>
        </w:tc>
        <w:tc>
          <w:tcPr>
            <w:tcW w:w="958" w:type="dxa"/>
          </w:tcPr>
          <w:p w:rsidR="00CE7127" w:rsidRPr="00BD778F" w:rsidRDefault="00CE7127" w:rsidP="00CE7127">
            <w:pPr>
              <w:pStyle w:val="ListParagraph"/>
              <w:ind w:left="0"/>
              <w:jc w:val="center"/>
              <w:rPr>
                <w:b/>
              </w:rPr>
            </w:pPr>
          </w:p>
        </w:tc>
        <w:tc>
          <w:tcPr>
            <w:tcW w:w="957" w:type="dxa"/>
          </w:tcPr>
          <w:p w:rsidR="00CE7127" w:rsidRPr="00BD778F" w:rsidRDefault="00CE7127" w:rsidP="00CE7127">
            <w:pPr>
              <w:pStyle w:val="ListParagraph"/>
              <w:ind w:left="0"/>
              <w:jc w:val="center"/>
              <w:rPr>
                <w:b/>
              </w:rPr>
            </w:pPr>
          </w:p>
        </w:tc>
        <w:tc>
          <w:tcPr>
            <w:tcW w:w="958" w:type="dxa"/>
          </w:tcPr>
          <w:p w:rsidR="00CE7127" w:rsidRPr="00BD778F" w:rsidRDefault="00CE7127" w:rsidP="00CE7127">
            <w:pPr>
              <w:pStyle w:val="ListParagraph"/>
              <w:ind w:left="0"/>
              <w:jc w:val="center"/>
              <w:rPr>
                <w:b/>
              </w:rPr>
            </w:pPr>
          </w:p>
        </w:tc>
        <w:tc>
          <w:tcPr>
            <w:tcW w:w="958" w:type="dxa"/>
          </w:tcPr>
          <w:p w:rsidR="00CE7127" w:rsidRPr="00BD778F" w:rsidRDefault="00CE7127" w:rsidP="00CE7127">
            <w:pPr>
              <w:pStyle w:val="ListParagraph"/>
              <w:ind w:left="0"/>
              <w:jc w:val="center"/>
              <w:rPr>
                <w:b/>
              </w:rPr>
            </w:pPr>
          </w:p>
        </w:tc>
        <w:tc>
          <w:tcPr>
            <w:tcW w:w="957" w:type="dxa"/>
          </w:tcPr>
          <w:p w:rsidR="00CE7127" w:rsidRPr="00BD778F" w:rsidRDefault="00CE7127" w:rsidP="00CE7127">
            <w:pPr>
              <w:pStyle w:val="ListParagraph"/>
              <w:ind w:left="0"/>
              <w:jc w:val="center"/>
              <w:rPr>
                <w:b/>
              </w:rPr>
            </w:pPr>
          </w:p>
        </w:tc>
        <w:tc>
          <w:tcPr>
            <w:tcW w:w="958" w:type="dxa"/>
          </w:tcPr>
          <w:p w:rsidR="00CE7127" w:rsidRPr="00BD778F" w:rsidRDefault="00CE7127" w:rsidP="00CE7127">
            <w:pPr>
              <w:pStyle w:val="ListParagraph"/>
              <w:ind w:left="0"/>
              <w:jc w:val="center"/>
              <w:rPr>
                <w:b/>
              </w:rPr>
            </w:pPr>
          </w:p>
        </w:tc>
        <w:tc>
          <w:tcPr>
            <w:tcW w:w="957" w:type="dxa"/>
          </w:tcPr>
          <w:p w:rsidR="00CE7127" w:rsidRPr="00BD778F" w:rsidRDefault="00CE7127" w:rsidP="00CE7127">
            <w:pPr>
              <w:pStyle w:val="ListParagraph"/>
              <w:ind w:left="0"/>
              <w:jc w:val="center"/>
              <w:rPr>
                <w:b/>
              </w:rPr>
            </w:pPr>
          </w:p>
        </w:tc>
        <w:tc>
          <w:tcPr>
            <w:tcW w:w="958" w:type="dxa"/>
            <w:shd w:val="clear" w:color="auto" w:fill="F2DBDB" w:themeFill="accent2" w:themeFillTint="33"/>
            <w:vAlign w:val="center"/>
          </w:tcPr>
          <w:p w:rsidR="00CE7127" w:rsidRPr="00BD778F" w:rsidRDefault="00CE7127" w:rsidP="00CE7127">
            <w:pPr>
              <w:pStyle w:val="ListParagraph"/>
              <w:ind w:left="0"/>
              <w:jc w:val="center"/>
              <w:rPr>
                <w:b/>
              </w:rPr>
            </w:pPr>
          </w:p>
        </w:tc>
        <w:tc>
          <w:tcPr>
            <w:tcW w:w="958" w:type="dxa"/>
            <w:shd w:val="clear" w:color="auto" w:fill="F2DBDB" w:themeFill="accent2" w:themeFillTint="33"/>
            <w:vAlign w:val="center"/>
          </w:tcPr>
          <w:p w:rsidR="00CE7127" w:rsidRPr="00BD778F" w:rsidRDefault="00CE7127" w:rsidP="00CE7127">
            <w:pPr>
              <w:pStyle w:val="ListParagraph"/>
              <w:ind w:left="0"/>
              <w:jc w:val="center"/>
              <w:rPr>
                <w:b/>
              </w:rPr>
            </w:pPr>
          </w:p>
        </w:tc>
      </w:tr>
      <w:tr w:rsidR="00CE7127" w:rsidRPr="00BD778F" w:rsidTr="00CE7127">
        <w:tc>
          <w:tcPr>
            <w:tcW w:w="957" w:type="dxa"/>
          </w:tcPr>
          <w:p w:rsidR="00CE7127" w:rsidRPr="00CE7127" w:rsidRDefault="00CE7127" w:rsidP="00CE7127">
            <w:pPr>
              <w:pStyle w:val="ListParagraph"/>
              <w:ind w:left="0"/>
              <w:jc w:val="center"/>
              <w:rPr>
                <w:b/>
              </w:rPr>
            </w:pPr>
            <w:r>
              <w:rPr>
                <w:b/>
              </w:rPr>
              <w:t>4.</w:t>
            </w:r>
          </w:p>
        </w:tc>
        <w:tc>
          <w:tcPr>
            <w:tcW w:w="958" w:type="dxa"/>
          </w:tcPr>
          <w:p w:rsidR="00CE7127" w:rsidRPr="00BD778F" w:rsidRDefault="00CE7127" w:rsidP="00CE7127">
            <w:pPr>
              <w:pStyle w:val="ListParagraph"/>
              <w:ind w:left="0"/>
              <w:rPr>
                <w:b/>
              </w:rPr>
            </w:pPr>
          </w:p>
        </w:tc>
        <w:tc>
          <w:tcPr>
            <w:tcW w:w="957" w:type="dxa"/>
          </w:tcPr>
          <w:p w:rsidR="00CE7127" w:rsidRPr="00BD778F" w:rsidRDefault="00CE7127" w:rsidP="00CE7127">
            <w:pPr>
              <w:pStyle w:val="ListParagraph"/>
              <w:ind w:left="0"/>
              <w:jc w:val="center"/>
              <w:rPr>
                <w:b/>
              </w:rPr>
            </w:pPr>
          </w:p>
        </w:tc>
        <w:tc>
          <w:tcPr>
            <w:tcW w:w="958" w:type="dxa"/>
          </w:tcPr>
          <w:p w:rsidR="00CE7127" w:rsidRPr="00BD778F" w:rsidRDefault="00CE7127" w:rsidP="00CE7127">
            <w:pPr>
              <w:pStyle w:val="ListParagraph"/>
              <w:ind w:left="0"/>
              <w:jc w:val="center"/>
              <w:rPr>
                <w:b/>
              </w:rPr>
            </w:pPr>
          </w:p>
        </w:tc>
        <w:tc>
          <w:tcPr>
            <w:tcW w:w="958" w:type="dxa"/>
          </w:tcPr>
          <w:p w:rsidR="00CE7127" w:rsidRPr="00BD778F" w:rsidRDefault="00CE7127" w:rsidP="00CE7127">
            <w:pPr>
              <w:pStyle w:val="ListParagraph"/>
              <w:ind w:left="0"/>
              <w:jc w:val="center"/>
              <w:rPr>
                <w:b/>
              </w:rPr>
            </w:pPr>
          </w:p>
        </w:tc>
        <w:tc>
          <w:tcPr>
            <w:tcW w:w="957" w:type="dxa"/>
          </w:tcPr>
          <w:p w:rsidR="00CE7127" w:rsidRPr="00BD778F" w:rsidRDefault="00CE7127" w:rsidP="00CE7127">
            <w:pPr>
              <w:pStyle w:val="ListParagraph"/>
              <w:ind w:left="0"/>
              <w:jc w:val="center"/>
              <w:rPr>
                <w:b/>
              </w:rPr>
            </w:pPr>
          </w:p>
        </w:tc>
        <w:tc>
          <w:tcPr>
            <w:tcW w:w="958" w:type="dxa"/>
          </w:tcPr>
          <w:p w:rsidR="00CE7127" w:rsidRPr="00BD778F" w:rsidRDefault="00CE7127" w:rsidP="00CE7127">
            <w:pPr>
              <w:pStyle w:val="ListParagraph"/>
              <w:ind w:left="0"/>
              <w:jc w:val="center"/>
              <w:rPr>
                <w:b/>
              </w:rPr>
            </w:pPr>
          </w:p>
        </w:tc>
        <w:tc>
          <w:tcPr>
            <w:tcW w:w="957" w:type="dxa"/>
          </w:tcPr>
          <w:p w:rsidR="00CE7127" w:rsidRPr="00BD778F" w:rsidRDefault="00CE7127" w:rsidP="00CE7127">
            <w:pPr>
              <w:pStyle w:val="ListParagraph"/>
              <w:ind w:left="0"/>
              <w:jc w:val="center"/>
              <w:rPr>
                <w:b/>
              </w:rPr>
            </w:pPr>
          </w:p>
        </w:tc>
        <w:tc>
          <w:tcPr>
            <w:tcW w:w="958" w:type="dxa"/>
            <w:shd w:val="clear" w:color="auto" w:fill="F2DBDB" w:themeFill="accent2" w:themeFillTint="33"/>
            <w:vAlign w:val="center"/>
          </w:tcPr>
          <w:p w:rsidR="00CE7127" w:rsidRPr="00BD778F" w:rsidRDefault="00CE7127" w:rsidP="00CE7127">
            <w:pPr>
              <w:pStyle w:val="ListParagraph"/>
              <w:ind w:left="0"/>
              <w:jc w:val="center"/>
              <w:rPr>
                <w:b/>
              </w:rPr>
            </w:pPr>
          </w:p>
        </w:tc>
        <w:tc>
          <w:tcPr>
            <w:tcW w:w="958" w:type="dxa"/>
            <w:shd w:val="clear" w:color="auto" w:fill="F2DBDB" w:themeFill="accent2" w:themeFillTint="33"/>
            <w:vAlign w:val="center"/>
          </w:tcPr>
          <w:p w:rsidR="00CE7127" w:rsidRPr="00BD778F" w:rsidRDefault="00CE7127" w:rsidP="00CE7127">
            <w:pPr>
              <w:pStyle w:val="ListParagraph"/>
              <w:ind w:left="0"/>
              <w:jc w:val="center"/>
              <w:rPr>
                <w:b/>
              </w:rPr>
            </w:pPr>
          </w:p>
        </w:tc>
      </w:tr>
      <w:tr w:rsidR="00CE7127" w:rsidRPr="00BD778F" w:rsidTr="00CE7127">
        <w:tc>
          <w:tcPr>
            <w:tcW w:w="957" w:type="dxa"/>
          </w:tcPr>
          <w:p w:rsidR="00CE7127" w:rsidRPr="00CE7127" w:rsidRDefault="00CE7127" w:rsidP="00CE7127">
            <w:pPr>
              <w:pStyle w:val="ListParagraph"/>
              <w:ind w:left="0"/>
              <w:jc w:val="center"/>
              <w:rPr>
                <w:b/>
              </w:rPr>
            </w:pPr>
            <w:r>
              <w:rPr>
                <w:b/>
              </w:rPr>
              <w:t>5.</w:t>
            </w:r>
          </w:p>
        </w:tc>
        <w:tc>
          <w:tcPr>
            <w:tcW w:w="958" w:type="dxa"/>
          </w:tcPr>
          <w:p w:rsidR="00CE7127" w:rsidRPr="00BD778F" w:rsidRDefault="00CE7127" w:rsidP="00CE7127">
            <w:pPr>
              <w:pStyle w:val="ListParagraph"/>
              <w:ind w:left="0"/>
              <w:rPr>
                <w:b/>
              </w:rPr>
            </w:pPr>
          </w:p>
        </w:tc>
        <w:tc>
          <w:tcPr>
            <w:tcW w:w="957" w:type="dxa"/>
          </w:tcPr>
          <w:p w:rsidR="00CE7127" w:rsidRPr="00BD778F" w:rsidRDefault="00CE7127" w:rsidP="00CE7127">
            <w:pPr>
              <w:pStyle w:val="ListParagraph"/>
              <w:ind w:left="0"/>
              <w:jc w:val="center"/>
              <w:rPr>
                <w:b/>
              </w:rPr>
            </w:pPr>
          </w:p>
        </w:tc>
        <w:tc>
          <w:tcPr>
            <w:tcW w:w="958" w:type="dxa"/>
          </w:tcPr>
          <w:p w:rsidR="00CE7127" w:rsidRPr="00BD778F" w:rsidRDefault="00CE7127" w:rsidP="00CE7127">
            <w:pPr>
              <w:pStyle w:val="ListParagraph"/>
              <w:ind w:left="0"/>
              <w:jc w:val="center"/>
              <w:rPr>
                <w:b/>
              </w:rPr>
            </w:pPr>
          </w:p>
        </w:tc>
        <w:tc>
          <w:tcPr>
            <w:tcW w:w="958" w:type="dxa"/>
          </w:tcPr>
          <w:p w:rsidR="00CE7127" w:rsidRPr="00BD778F" w:rsidRDefault="00CE7127" w:rsidP="00CE7127">
            <w:pPr>
              <w:pStyle w:val="ListParagraph"/>
              <w:ind w:left="0"/>
              <w:jc w:val="center"/>
              <w:rPr>
                <w:b/>
              </w:rPr>
            </w:pPr>
          </w:p>
        </w:tc>
        <w:tc>
          <w:tcPr>
            <w:tcW w:w="957" w:type="dxa"/>
          </w:tcPr>
          <w:p w:rsidR="00CE7127" w:rsidRPr="00BD778F" w:rsidRDefault="00CE7127" w:rsidP="00CE7127">
            <w:pPr>
              <w:pStyle w:val="ListParagraph"/>
              <w:ind w:left="0"/>
              <w:jc w:val="center"/>
              <w:rPr>
                <w:b/>
              </w:rPr>
            </w:pPr>
          </w:p>
        </w:tc>
        <w:tc>
          <w:tcPr>
            <w:tcW w:w="958" w:type="dxa"/>
          </w:tcPr>
          <w:p w:rsidR="00CE7127" w:rsidRPr="00BD778F" w:rsidRDefault="00CE7127" w:rsidP="00CE7127">
            <w:pPr>
              <w:pStyle w:val="ListParagraph"/>
              <w:ind w:left="0"/>
              <w:jc w:val="center"/>
              <w:rPr>
                <w:b/>
              </w:rPr>
            </w:pPr>
          </w:p>
        </w:tc>
        <w:tc>
          <w:tcPr>
            <w:tcW w:w="957" w:type="dxa"/>
          </w:tcPr>
          <w:p w:rsidR="00CE7127" w:rsidRPr="00BD778F" w:rsidRDefault="00CE7127" w:rsidP="00CE7127">
            <w:pPr>
              <w:pStyle w:val="ListParagraph"/>
              <w:ind w:left="0"/>
              <w:jc w:val="center"/>
              <w:rPr>
                <w:b/>
              </w:rPr>
            </w:pPr>
          </w:p>
        </w:tc>
        <w:tc>
          <w:tcPr>
            <w:tcW w:w="958" w:type="dxa"/>
            <w:shd w:val="clear" w:color="auto" w:fill="F2DBDB" w:themeFill="accent2" w:themeFillTint="33"/>
            <w:vAlign w:val="center"/>
          </w:tcPr>
          <w:p w:rsidR="00CE7127" w:rsidRPr="00BD778F" w:rsidRDefault="00CE7127" w:rsidP="00CE7127">
            <w:pPr>
              <w:pStyle w:val="ListParagraph"/>
              <w:ind w:left="0"/>
              <w:jc w:val="center"/>
              <w:rPr>
                <w:b/>
              </w:rPr>
            </w:pPr>
          </w:p>
        </w:tc>
        <w:tc>
          <w:tcPr>
            <w:tcW w:w="958" w:type="dxa"/>
            <w:shd w:val="clear" w:color="auto" w:fill="F2DBDB" w:themeFill="accent2" w:themeFillTint="33"/>
            <w:vAlign w:val="center"/>
          </w:tcPr>
          <w:p w:rsidR="00CE7127" w:rsidRPr="00BD778F" w:rsidRDefault="00CE7127" w:rsidP="00CE7127">
            <w:pPr>
              <w:pStyle w:val="ListParagraph"/>
              <w:ind w:left="0"/>
              <w:jc w:val="center"/>
              <w:rPr>
                <w:b/>
              </w:rPr>
            </w:pPr>
          </w:p>
        </w:tc>
      </w:tr>
      <w:tr w:rsidR="00CE7127" w:rsidRPr="00BD778F" w:rsidTr="00CE7127">
        <w:tc>
          <w:tcPr>
            <w:tcW w:w="957" w:type="dxa"/>
          </w:tcPr>
          <w:p w:rsidR="00CE7127" w:rsidRPr="00CE7127" w:rsidRDefault="00CE7127" w:rsidP="00CE7127">
            <w:pPr>
              <w:pStyle w:val="ListParagraph"/>
              <w:ind w:left="0"/>
              <w:jc w:val="center"/>
              <w:rPr>
                <w:b/>
              </w:rPr>
            </w:pPr>
            <w:r>
              <w:rPr>
                <w:b/>
              </w:rPr>
              <w:t>6.</w:t>
            </w:r>
          </w:p>
        </w:tc>
        <w:tc>
          <w:tcPr>
            <w:tcW w:w="958" w:type="dxa"/>
          </w:tcPr>
          <w:p w:rsidR="00CE7127" w:rsidRPr="00BD778F" w:rsidRDefault="00CE7127" w:rsidP="00CE7127">
            <w:pPr>
              <w:pStyle w:val="ListParagraph"/>
              <w:ind w:left="0"/>
              <w:rPr>
                <w:b/>
              </w:rPr>
            </w:pPr>
          </w:p>
        </w:tc>
        <w:tc>
          <w:tcPr>
            <w:tcW w:w="957" w:type="dxa"/>
          </w:tcPr>
          <w:p w:rsidR="00CE7127" w:rsidRPr="00BD778F" w:rsidRDefault="00CE7127" w:rsidP="00CE7127">
            <w:pPr>
              <w:pStyle w:val="ListParagraph"/>
              <w:ind w:left="0"/>
              <w:jc w:val="center"/>
              <w:rPr>
                <w:b/>
              </w:rPr>
            </w:pPr>
          </w:p>
        </w:tc>
        <w:tc>
          <w:tcPr>
            <w:tcW w:w="958" w:type="dxa"/>
          </w:tcPr>
          <w:p w:rsidR="00CE7127" w:rsidRPr="00BD778F" w:rsidRDefault="00CE7127" w:rsidP="00CE7127">
            <w:pPr>
              <w:pStyle w:val="ListParagraph"/>
              <w:ind w:left="0"/>
              <w:jc w:val="center"/>
              <w:rPr>
                <w:b/>
              </w:rPr>
            </w:pPr>
          </w:p>
        </w:tc>
        <w:tc>
          <w:tcPr>
            <w:tcW w:w="958" w:type="dxa"/>
          </w:tcPr>
          <w:p w:rsidR="00CE7127" w:rsidRPr="00BD778F" w:rsidRDefault="00CE7127" w:rsidP="00CE7127">
            <w:pPr>
              <w:pStyle w:val="ListParagraph"/>
              <w:ind w:left="0"/>
              <w:jc w:val="center"/>
              <w:rPr>
                <w:b/>
              </w:rPr>
            </w:pPr>
          </w:p>
        </w:tc>
        <w:tc>
          <w:tcPr>
            <w:tcW w:w="957" w:type="dxa"/>
          </w:tcPr>
          <w:p w:rsidR="00CE7127" w:rsidRPr="00BD778F" w:rsidRDefault="00CE7127" w:rsidP="00CE7127">
            <w:pPr>
              <w:pStyle w:val="ListParagraph"/>
              <w:ind w:left="0"/>
              <w:jc w:val="center"/>
              <w:rPr>
                <w:b/>
              </w:rPr>
            </w:pPr>
          </w:p>
        </w:tc>
        <w:tc>
          <w:tcPr>
            <w:tcW w:w="958" w:type="dxa"/>
          </w:tcPr>
          <w:p w:rsidR="00CE7127" w:rsidRPr="00BD778F" w:rsidRDefault="00CE7127" w:rsidP="00CE7127">
            <w:pPr>
              <w:pStyle w:val="ListParagraph"/>
              <w:ind w:left="0"/>
              <w:jc w:val="center"/>
              <w:rPr>
                <w:b/>
              </w:rPr>
            </w:pPr>
          </w:p>
        </w:tc>
        <w:tc>
          <w:tcPr>
            <w:tcW w:w="957" w:type="dxa"/>
          </w:tcPr>
          <w:p w:rsidR="00CE7127" w:rsidRPr="00BD778F" w:rsidRDefault="00CE7127" w:rsidP="00CE7127">
            <w:pPr>
              <w:pStyle w:val="ListParagraph"/>
              <w:ind w:left="0"/>
              <w:jc w:val="center"/>
              <w:rPr>
                <w:b/>
              </w:rPr>
            </w:pPr>
          </w:p>
        </w:tc>
        <w:tc>
          <w:tcPr>
            <w:tcW w:w="958" w:type="dxa"/>
            <w:shd w:val="clear" w:color="auto" w:fill="F2DBDB" w:themeFill="accent2" w:themeFillTint="33"/>
            <w:vAlign w:val="center"/>
          </w:tcPr>
          <w:p w:rsidR="00CE7127" w:rsidRPr="00BD778F" w:rsidRDefault="00CE7127" w:rsidP="00CE7127">
            <w:pPr>
              <w:pStyle w:val="ListParagraph"/>
              <w:ind w:left="0"/>
              <w:jc w:val="center"/>
              <w:rPr>
                <w:b/>
              </w:rPr>
            </w:pPr>
          </w:p>
        </w:tc>
        <w:tc>
          <w:tcPr>
            <w:tcW w:w="958" w:type="dxa"/>
            <w:shd w:val="clear" w:color="auto" w:fill="F2DBDB" w:themeFill="accent2" w:themeFillTint="33"/>
            <w:vAlign w:val="center"/>
          </w:tcPr>
          <w:p w:rsidR="00CE7127" w:rsidRPr="00BD778F" w:rsidRDefault="00CE7127" w:rsidP="00CE7127">
            <w:pPr>
              <w:pStyle w:val="ListParagraph"/>
              <w:ind w:left="0"/>
              <w:jc w:val="center"/>
              <w:rPr>
                <w:b/>
              </w:rPr>
            </w:pPr>
          </w:p>
        </w:tc>
      </w:tr>
    </w:tbl>
    <w:p w:rsidR="00736D37" w:rsidRDefault="00CE7127" w:rsidP="00CE7127">
      <w:pPr>
        <w:tabs>
          <w:tab w:val="left" w:pos="0"/>
        </w:tabs>
        <w:jc w:val="center"/>
        <w:rPr>
          <w:rFonts w:ascii="Times New Roman" w:hAnsi="Times New Roman" w:cs="Times New Roman"/>
        </w:rPr>
      </w:pPr>
      <w:r>
        <w:rPr>
          <w:rFonts w:ascii="Times New Roman" w:hAnsi="Times New Roman" w:cs="Times New Roman"/>
          <w:b/>
          <w:bCs/>
        </w:rPr>
        <w:t>Прилог 1: Модел Обједињеног годишњег плана стручног усавршавања</w:t>
      </w:r>
    </w:p>
    <w:p w:rsidR="00736D37" w:rsidRDefault="00736D37" w:rsidP="00736D37">
      <w:pPr>
        <w:tabs>
          <w:tab w:val="left" w:pos="0"/>
        </w:tabs>
        <w:rPr>
          <w:rFonts w:ascii="Times New Roman" w:hAnsi="Times New Roman" w:cs="Times New Roman"/>
        </w:rPr>
      </w:pPr>
    </w:p>
    <w:p w:rsidR="00736D37" w:rsidRDefault="00736D37" w:rsidP="00736D37">
      <w:pPr>
        <w:tabs>
          <w:tab w:val="left" w:pos="0"/>
        </w:tabs>
        <w:rPr>
          <w:rFonts w:ascii="Times New Roman" w:hAnsi="Times New Roman" w:cs="Times New Roman"/>
        </w:rPr>
      </w:pPr>
    </w:p>
    <w:p w:rsidR="00736D37" w:rsidRDefault="00736D37" w:rsidP="00736D37">
      <w:pPr>
        <w:tabs>
          <w:tab w:val="left" w:pos="0"/>
        </w:tabs>
        <w:rPr>
          <w:rFonts w:ascii="Times New Roman" w:hAnsi="Times New Roman" w:cs="Times New Roman"/>
        </w:rPr>
      </w:pPr>
    </w:p>
    <w:sectPr w:rsidR="00736D37" w:rsidSect="00A0056A">
      <w:footerReference w:type="default" r:id="rId9"/>
      <w:pgSz w:w="12240" w:h="15840"/>
      <w:pgMar w:top="540" w:right="1440" w:bottom="2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FD2" w:rsidRDefault="00192FD2" w:rsidP="0058268C">
      <w:pPr>
        <w:spacing w:after="0" w:line="240" w:lineRule="auto"/>
      </w:pPr>
      <w:r>
        <w:separator/>
      </w:r>
    </w:p>
  </w:endnote>
  <w:endnote w:type="continuationSeparator" w:id="1">
    <w:p w:rsidR="00192FD2" w:rsidRDefault="00192FD2" w:rsidP="00582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638358"/>
      <w:docPartObj>
        <w:docPartGallery w:val="Page Numbers (Bottom of Page)"/>
        <w:docPartUnique/>
      </w:docPartObj>
    </w:sdtPr>
    <w:sdtContent>
      <w:p w:rsidR="00A0056A" w:rsidRDefault="008B5A19">
        <w:pPr>
          <w:pStyle w:val="Footer"/>
          <w:jc w:val="right"/>
        </w:pPr>
        <w:fldSimple w:instr=" PAGE   \* MERGEFORMAT ">
          <w:r w:rsidR="008632A1">
            <w:rPr>
              <w:noProof/>
            </w:rPr>
            <w:t>6</w:t>
          </w:r>
        </w:fldSimple>
      </w:p>
    </w:sdtContent>
  </w:sdt>
  <w:p w:rsidR="00A0056A" w:rsidRDefault="00A005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FD2" w:rsidRDefault="00192FD2" w:rsidP="0058268C">
      <w:pPr>
        <w:spacing w:after="0" w:line="240" w:lineRule="auto"/>
      </w:pPr>
      <w:r>
        <w:separator/>
      </w:r>
    </w:p>
  </w:footnote>
  <w:footnote w:type="continuationSeparator" w:id="1">
    <w:p w:rsidR="00192FD2" w:rsidRDefault="00192FD2" w:rsidP="005826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24B7"/>
    <w:multiLevelType w:val="hybridMultilevel"/>
    <w:tmpl w:val="96781F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67C7BA3"/>
    <w:multiLevelType w:val="hybridMultilevel"/>
    <w:tmpl w:val="F6E670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CE95FFF"/>
    <w:multiLevelType w:val="hybridMultilevel"/>
    <w:tmpl w:val="0678A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810C41"/>
    <w:multiLevelType w:val="hybridMultilevel"/>
    <w:tmpl w:val="84BA4A6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28614334"/>
    <w:multiLevelType w:val="hybridMultilevel"/>
    <w:tmpl w:val="CFDC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8073B6"/>
    <w:multiLevelType w:val="hybridMultilevel"/>
    <w:tmpl w:val="C1741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1870DA"/>
    <w:multiLevelType w:val="hybridMultilevel"/>
    <w:tmpl w:val="6ED07B48"/>
    <w:lvl w:ilvl="0" w:tplc="9DC87D10">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BB11E4"/>
    <w:multiLevelType w:val="hybridMultilevel"/>
    <w:tmpl w:val="0D62A4B4"/>
    <w:lvl w:ilvl="0" w:tplc="9DC87D10">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DE31662"/>
    <w:multiLevelType w:val="hybridMultilevel"/>
    <w:tmpl w:val="E5C418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4AC5938"/>
    <w:multiLevelType w:val="hybridMultilevel"/>
    <w:tmpl w:val="B8A8A1EC"/>
    <w:lvl w:ilvl="0" w:tplc="B29A6F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EE2226"/>
    <w:multiLevelType w:val="hybridMultilevel"/>
    <w:tmpl w:val="75DC0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9581CA4"/>
    <w:multiLevelType w:val="hybridMultilevel"/>
    <w:tmpl w:val="CA8A8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39B638A"/>
    <w:multiLevelType w:val="hybridMultilevel"/>
    <w:tmpl w:val="C3EA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E3543C"/>
    <w:multiLevelType w:val="hybridMultilevel"/>
    <w:tmpl w:val="ACE8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13"/>
  </w:num>
  <w:num w:numId="5">
    <w:abstractNumId w:val="8"/>
  </w:num>
  <w:num w:numId="6">
    <w:abstractNumId w:val="11"/>
  </w:num>
  <w:num w:numId="7">
    <w:abstractNumId w:val="5"/>
  </w:num>
  <w:num w:numId="8">
    <w:abstractNumId w:val="12"/>
  </w:num>
  <w:num w:numId="9">
    <w:abstractNumId w:val="0"/>
  </w:num>
  <w:num w:numId="10">
    <w:abstractNumId w:val="4"/>
  </w:num>
  <w:num w:numId="11">
    <w:abstractNumId w:val="1"/>
  </w:num>
  <w:num w:numId="12">
    <w:abstractNumId w:val="2"/>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71AFF"/>
    <w:rsid w:val="0001054E"/>
    <w:rsid w:val="00036178"/>
    <w:rsid w:val="000C7D02"/>
    <w:rsid w:val="000F02DE"/>
    <w:rsid w:val="00192FD2"/>
    <w:rsid w:val="001D3A9A"/>
    <w:rsid w:val="001F0F84"/>
    <w:rsid w:val="001F76E0"/>
    <w:rsid w:val="002E61A0"/>
    <w:rsid w:val="003112B5"/>
    <w:rsid w:val="00322E01"/>
    <w:rsid w:val="003262FE"/>
    <w:rsid w:val="00336AEE"/>
    <w:rsid w:val="00371AFF"/>
    <w:rsid w:val="00387FF1"/>
    <w:rsid w:val="00422605"/>
    <w:rsid w:val="004816E4"/>
    <w:rsid w:val="004854B1"/>
    <w:rsid w:val="00551739"/>
    <w:rsid w:val="00566AD3"/>
    <w:rsid w:val="0057798D"/>
    <w:rsid w:val="0058268C"/>
    <w:rsid w:val="005D6B23"/>
    <w:rsid w:val="00687D90"/>
    <w:rsid w:val="006C1A73"/>
    <w:rsid w:val="00736D37"/>
    <w:rsid w:val="00770244"/>
    <w:rsid w:val="007A7E2D"/>
    <w:rsid w:val="007F5108"/>
    <w:rsid w:val="008604A7"/>
    <w:rsid w:val="008632A1"/>
    <w:rsid w:val="008A410F"/>
    <w:rsid w:val="008B5A19"/>
    <w:rsid w:val="00902731"/>
    <w:rsid w:val="009B4A5F"/>
    <w:rsid w:val="00A0056A"/>
    <w:rsid w:val="00A03D2E"/>
    <w:rsid w:val="00A158B1"/>
    <w:rsid w:val="00A54EE1"/>
    <w:rsid w:val="00A7623B"/>
    <w:rsid w:val="00AB4DFC"/>
    <w:rsid w:val="00AD54E8"/>
    <w:rsid w:val="00B80A03"/>
    <w:rsid w:val="00B965D5"/>
    <w:rsid w:val="00BD2F22"/>
    <w:rsid w:val="00CE7127"/>
    <w:rsid w:val="00DB3936"/>
    <w:rsid w:val="00E06846"/>
    <w:rsid w:val="00E3163F"/>
    <w:rsid w:val="00E5744E"/>
    <w:rsid w:val="00EE61CC"/>
    <w:rsid w:val="00F104DA"/>
    <w:rsid w:val="00FC0A9E"/>
    <w:rsid w:val="00FD2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ttext">
    <w:name w:val="sittext"/>
    <w:basedOn w:val="DefaultParagraphFont"/>
    <w:rsid w:val="00371AFF"/>
  </w:style>
  <w:style w:type="paragraph" w:styleId="BalloonText">
    <w:name w:val="Balloon Text"/>
    <w:basedOn w:val="Normal"/>
    <w:link w:val="BalloonTextChar"/>
    <w:uiPriority w:val="99"/>
    <w:semiHidden/>
    <w:unhideWhenUsed/>
    <w:rsid w:val="00371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AFF"/>
    <w:rPr>
      <w:rFonts w:ascii="Tahoma" w:hAnsi="Tahoma" w:cs="Tahoma"/>
      <w:sz w:val="16"/>
      <w:szCs w:val="16"/>
    </w:rPr>
  </w:style>
  <w:style w:type="paragraph" w:styleId="ListParagraph">
    <w:name w:val="List Paragraph"/>
    <w:basedOn w:val="Normal"/>
    <w:uiPriority w:val="34"/>
    <w:qFormat/>
    <w:rsid w:val="00371AFF"/>
    <w:pPr>
      <w:ind w:left="720"/>
      <w:contextualSpacing/>
    </w:pPr>
  </w:style>
  <w:style w:type="paragraph" w:styleId="Header">
    <w:name w:val="header"/>
    <w:basedOn w:val="Normal"/>
    <w:link w:val="HeaderChar"/>
    <w:uiPriority w:val="99"/>
    <w:semiHidden/>
    <w:unhideWhenUsed/>
    <w:rsid w:val="005826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268C"/>
  </w:style>
  <w:style w:type="paragraph" w:styleId="Footer">
    <w:name w:val="footer"/>
    <w:basedOn w:val="Normal"/>
    <w:link w:val="FooterChar"/>
    <w:uiPriority w:val="99"/>
    <w:unhideWhenUsed/>
    <w:rsid w:val="00582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68C"/>
  </w:style>
  <w:style w:type="paragraph" w:styleId="FootnoteText">
    <w:name w:val="footnote text"/>
    <w:basedOn w:val="Normal"/>
    <w:link w:val="FootnoteTextChar"/>
    <w:uiPriority w:val="99"/>
    <w:semiHidden/>
    <w:unhideWhenUsed/>
    <w:rsid w:val="00687D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7D90"/>
    <w:rPr>
      <w:sz w:val="20"/>
      <w:szCs w:val="20"/>
    </w:rPr>
  </w:style>
  <w:style w:type="character" w:styleId="FootnoteReference">
    <w:name w:val="footnote reference"/>
    <w:basedOn w:val="DefaultParagraphFont"/>
    <w:uiPriority w:val="99"/>
    <w:semiHidden/>
    <w:unhideWhenUsed/>
    <w:rsid w:val="00687D90"/>
    <w:rPr>
      <w:vertAlign w:val="superscript"/>
    </w:rPr>
  </w:style>
  <w:style w:type="table" w:styleId="TableGrid">
    <w:name w:val="Table Grid"/>
    <w:basedOn w:val="TableNormal"/>
    <w:uiPriority w:val="59"/>
    <w:rsid w:val="00A0056A"/>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063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AB01B-D7D9-4588-ABBC-77E9E0DA3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kastriot</dc:creator>
  <cp:lastModifiedBy>kastriot</cp:lastModifiedBy>
  <cp:revision>4</cp:revision>
  <cp:lastPrinted>2021-04-05T09:40:00Z</cp:lastPrinted>
  <dcterms:created xsi:type="dcterms:W3CDTF">2021-04-05T12:46:00Z</dcterms:created>
  <dcterms:modified xsi:type="dcterms:W3CDTF">2021-04-07T06:50:00Z</dcterms:modified>
</cp:coreProperties>
</file>