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EC" w:rsidRPr="00EE50FB" w:rsidRDefault="00313770" w:rsidP="00B65FEC">
      <w:pPr>
        <w:ind w:firstLine="720"/>
        <w:jc w:val="both"/>
        <w:rPr>
          <w:noProof/>
        </w:rPr>
      </w:pPr>
      <w:r w:rsidRPr="00EE50FB">
        <w:rPr>
          <w:noProof/>
        </w:rPr>
        <w:t>На основу чланa 97</w:t>
      </w:r>
      <w:r w:rsidR="00B65FEC" w:rsidRPr="00EE50FB">
        <w:rPr>
          <w:noProof/>
        </w:rPr>
        <w:t>.</w:t>
      </w:r>
      <w:r w:rsidRPr="00EE50FB">
        <w:rPr>
          <w:noProof/>
        </w:rPr>
        <w:t>,</w:t>
      </w:r>
      <w:r w:rsidR="00DB71C1" w:rsidRPr="00EE50FB">
        <w:rPr>
          <w:noProof/>
        </w:rPr>
        <w:t xml:space="preserve"> </w:t>
      </w:r>
      <w:r w:rsidR="00821244" w:rsidRPr="00EE50FB">
        <w:rPr>
          <w:noProof/>
        </w:rPr>
        <w:t>ч</w:t>
      </w:r>
      <w:r w:rsidR="00240121" w:rsidRPr="00EE50FB">
        <w:rPr>
          <w:noProof/>
        </w:rPr>
        <w:t>лана</w:t>
      </w:r>
      <w:r w:rsidR="00410C6B" w:rsidRPr="00EE50FB">
        <w:rPr>
          <w:noProof/>
        </w:rPr>
        <w:t xml:space="preserve"> 86.и члана</w:t>
      </w:r>
      <w:r w:rsidR="00240121" w:rsidRPr="00EE50FB">
        <w:rPr>
          <w:noProof/>
        </w:rPr>
        <w:t xml:space="preserve"> 99</w:t>
      </w:r>
      <w:r w:rsidR="00DB71C1" w:rsidRPr="00EE50FB">
        <w:rPr>
          <w:noProof/>
        </w:rPr>
        <w:t>.</w:t>
      </w:r>
      <w:r w:rsidR="00B65FEC" w:rsidRPr="00EE50FB">
        <w:rPr>
          <w:noProof/>
        </w:rPr>
        <w:t xml:space="preserve"> Закона о планирању и изградњи (“Службени гласник Републике Србије” бр. 72/09, 81/09 - испр, 64/10 - одлука УС, 24/11, 121/12, 42/13 – одлука УС, 50/13 – одлука</w:t>
      </w:r>
      <w:r w:rsidR="008F30A8" w:rsidRPr="00EE50FB">
        <w:rPr>
          <w:noProof/>
        </w:rPr>
        <w:t xml:space="preserve"> УС, 98/13 – одлука УС, 132/14,</w:t>
      </w:r>
      <w:r w:rsidR="00B65FEC" w:rsidRPr="00EE50FB">
        <w:rPr>
          <w:noProof/>
        </w:rPr>
        <w:t xml:space="preserve"> 145/14</w:t>
      </w:r>
      <w:r w:rsidR="008F30A8" w:rsidRPr="00EE50FB">
        <w:rPr>
          <w:noProof/>
        </w:rPr>
        <w:t xml:space="preserve">, 83/18, </w:t>
      </w:r>
      <w:r w:rsidR="00093AC8" w:rsidRPr="00EE50FB">
        <w:rPr>
          <w:noProof/>
        </w:rPr>
        <w:t>31/19, 37/19-др.Закон,</w:t>
      </w:r>
      <w:r w:rsidR="008F30A8" w:rsidRPr="00EE50FB">
        <w:rPr>
          <w:noProof/>
        </w:rPr>
        <w:t xml:space="preserve"> 9/20</w:t>
      </w:r>
      <w:r w:rsidR="00294F20" w:rsidRPr="00EE50FB">
        <w:rPr>
          <w:noProof/>
        </w:rPr>
        <w:t>,</w:t>
      </w:r>
      <w:r w:rsidR="00093AC8" w:rsidRPr="00EE50FB">
        <w:rPr>
          <w:noProof/>
        </w:rPr>
        <w:t xml:space="preserve"> 52/2021</w:t>
      </w:r>
      <w:r w:rsidR="00294F20" w:rsidRPr="00EE50FB">
        <w:rPr>
          <w:noProof/>
        </w:rPr>
        <w:t xml:space="preserve"> </w:t>
      </w:r>
      <w:r w:rsidR="00111A63" w:rsidRPr="00EE50FB">
        <w:rPr>
          <w:noProof/>
        </w:rPr>
        <w:t>и</w:t>
      </w:r>
      <w:r w:rsidR="00294F20" w:rsidRPr="00EE50FB">
        <w:rPr>
          <w:noProof/>
        </w:rPr>
        <w:t xml:space="preserve"> 62/2023</w:t>
      </w:r>
      <w:r w:rsidR="00AA42A4">
        <w:rPr>
          <w:noProof/>
        </w:rPr>
        <w:t xml:space="preserve"> ), </w:t>
      </w:r>
      <w:r w:rsidR="00B65FEC" w:rsidRPr="00EE50FB">
        <w:rPr>
          <w:noProof/>
        </w:rPr>
        <w:t xml:space="preserve">члана </w:t>
      </w:r>
      <w:r w:rsidR="00BD3E14" w:rsidRPr="00EE50FB">
        <w:rPr>
          <w:noProof/>
        </w:rPr>
        <w:t>125</w:t>
      </w:r>
      <w:r w:rsidR="00B65FEC" w:rsidRPr="00EE50FB">
        <w:rPr>
          <w:noProof/>
        </w:rPr>
        <w:t xml:space="preserve">.  Статута Општине Бујановац („Службени гласник </w:t>
      </w:r>
      <w:r w:rsidR="00BD3E14" w:rsidRPr="00EE50FB">
        <w:rPr>
          <w:noProof/>
        </w:rPr>
        <w:t>Општине Бујановац</w:t>
      </w:r>
      <w:r w:rsidR="00B65FEC" w:rsidRPr="00EE50FB">
        <w:rPr>
          <w:noProof/>
        </w:rPr>
        <w:t>“, бр.</w:t>
      </w:r>
      <w:r w:rsidR="00BD3E14" w:rsidRPr="00EE50FB">
        <w:rPr>
          <w:noProof/>
        </w:rPr>
        <w:t>5</w:t>
      </w:r>
      <w:r w:rsidR="00B65FEC" w:rsidRPr="00EE50FB">
        <w:rPr>
          <w:noProof/>
        </w:rPr>
        <w:t>/0</w:t>
      </w:r>
      <w:r w:rsidR="00BD3E14" w:rsidRPr="00EE50FB">
        <w:rPr>
          <w:noProof/>
        </w:rPr>
        <w:t>19</w:t>
      </w:r>
      <w:r w:rsidR="00B65FEC" w:rsidRPr="00EE50FB">
        <w:rPr>
          <w:noProof/>
        </w:rPr>
        <w:t>),</w:t>
      </w:r>
      <w:r w:rsidR="00BD3E14" w:rsidRPr="00EE50FB">
        <w:rPr>
          <w:noProof/>
        </w:rPr>
        <w:t xml:space="preserve"> и члана 135. Став 1. Тачка 1. Пословника о раду </w:t>
      </w:r>
      <w:r w:rsidR="00B65FEC" w:rsidRPr="00EE50FB">
        <w:rPr>
          <w:noProof/>
        </w:rPr>
        <w:t xml:space="preserve">Скупштина општине Бујановац </w:t>
      </w:r>
      <w:r w:rsidR="00BD3E14" w:rsidRPr="00EE50FB">
        <w:rPr>
          <w:noProof/>
        </w:rPr>
        <w:t>((„Службени гласник Општине Бујановац“, бр.11/019), Скупштина општине Бујановац</w:t>
      </w:r>
      <w:r w:rsidR="002C2B72">
        <w:rPr>
          <w:noProof/>
        </w:rPr>
        <w:t xml:space="preserve"> на седници од</w:t>
      </w:r>
      <w:r w:rsidR="00987969">
        <w:rPr>
          <w:noProof/>
        </w:rPr>
        <w:t xml:space="preserve"> </w:t>
      </w:r>
      <w:r w:rsidR="002C2B72">
        <w:rPr>
          <w:noProof/>
          <w:lang/>
        </w:rPr>
        <w:t>27.12.</w:t>
      </w:r>
      <w:r w:rsidR="00987969">
        <w:rPr>
          <w:noProof/>
        </w:rPr>
        <w:t>2024</w:t>
      </w:r>
      <w:r w:rsidR="002C1E6B" w:rsidRPr="00EE50FB">
        <w:rPr>
          <w:noProof/>
        </w:rPr>
        <w:t>.</w:t>
      </w:r>
      <w:r w:rsidR="002C2B72">
        <w:rPr>
          <w:noProof/>
          <w:lang/>
        </w:rPr>
        <w:t>год</w:t>
      </w:r>
      <w:r w:rsidR="00B65FEC" w:rsidRPr="00EE50FB">
        <w:rPr>
          <w:noProof/>
        </w:rPr>
        <w:t>. донела је</w:t>
      </w:r>
    </w:p>
    <w:p w:rsidR="00B65FEC" w:rsidRPr="00EE50FB" w:rsidRDefault="00821244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Në bazë</w:t>
      </w:r>
      <w:r w:rsidR="00313770" w:rsidRPr="00EE50FB">
        <w:rPr>
          <w:noProof/>
        </w:rPr>
        <w:t xml:space="preserve"> të nenit 97</w:t>
      </w:r>
      <w:r w:rsidR="00B65FEC" w:rsidRPr="00EE50FB">
        <w:rPr>
          <w:noProof/>
        </w:rPr>
        <w:t>.</w:t>
      </w:r>
      <w:r w:rsidR="00313770" w:rsidRPr="00EE50FB">
        <w:rPr>
          <w:noProof/>
        </w:rPr>
        <w:t>,</w:t>
      </w:r>
      <w:r w:rsidRPr="00EE50FB">
        <w:rPr>
          <w:noProof/>
        </w:rPr>
        <w:t xml:space="preserve"> </w:t>
      </w:r>
      <w:r w:rsidR="00240121" w:rsidRPr="00EE50FB">
        <w:rPr>
          <w:noProof/>
        </w:rPr>
        <w:t xml:space="preserve">nenit </w:t>
      </w:r>
      <w:r w:rsidRPr="00EE50FB">
        <w:rPr>
          <w:noProof/>
        </w:rPr>
        <w:t xml:space="preserve">86. dhe nenit </w:t>
      </w:r>
      <w:r w:rsidR="00240121" w:rsidRPr="00EE50FB">
        <w:rPr>
          <w:noProof/>
        </w:rPr>
        <w:t>99</w:t>
      </w:r>
      <w:r w:rsidRPr="00EE50FB">
        <w:rPr>
          <w:noProof/>
        </w:rPr>
        <w:t>.</w:t>
      </w:r>
      <w:r w:rsidR="00B65FEC" w:rsidRPr="00EE50FB">
        <w:rPr>
          <w:noProof/>
        </w:rPr>
        <w:t xml:space="preserve"> të Ligjit mbi planifikimin dhe ndërti</w:t>
      </w:r>
      <w:r w:rsidR="002C1E6B" w:rsidRPr="00EE50FB">
        <w:rPr>
          <w:noProof/>
        </w:rPr>
        <w:t>min (“Gazeta</w:t>
      </w:r>
      <w:r w:rsidR="00B65FEC" w:rsidRPr="00EE50FB">
        <w:rPr>
          <w:noProof/>
        </w:rPr>
        <w:t>zyrtare e RS”, nr. 72/09, 81/09- korigj. 64/10,- Vendimi GJK, 24/11, 121/12, 42/13-Vendimi GJK, 50/13- Vendimi GJK, 98/13-Vendimi GJK, 132/14 dhe 145/14</w:t>
      </w:r>
      <w:r w:rsidR="00BD3E14" w:rsidRPr="00EE50FB">
        <w:rPr>
          <w:noProof/>
        </w:rPr>
        <w:t>,</w:t>
      </w:r>
      <w:r w:rsidR="00557C9A" w:rsidRPr="00EE50FB">
        <w:rPr>
          <w:noProof/>
        </w:rPr>
        <w:t xml:space="preserve"> 83/18, 31/19, 37/19 </w:t>
      </w:r>
      <w:r w:rsidR="00035CBB" w:rsidRPr="00EE50FB">
        <w:rPr>
          <w:noProof/>
        </w:rPr>
        <w:t xml:space="preserve"> 9/20</w:t>
      </w:r>
      <w:r w:rsidR="00111A63" w:rsidRPr="00EE50FB">
        <w:rPr>
          <w:noProof/>
        </w:rPr>
        <w:t>,</w:t>
      </w:r>
      <w:r w:rsidR="00557C9A" w:rsidRPr="00EE50FB">
        <w:rPr>
          <w:noProof/>
        </w:rPr>
        <w:t xml:space="preserve"> 52/2021</w:t>
      </w:r>
      <w:r w:rsidR="00111A63" w:rsidRPr="00EE50FB">
        <w:rPr>
          <w:noProof/>
        </w:rPr>
        <w:t xml:space="preserve"> dhe 62/2023</w:t>
      </w:r>
      <w:r w:rsidR="00AA42A4">
        <w:rPr>
          <w:noProof/>
        </w:rPr>
        <w:t>),</w:t>
      </w:r>
      <w:r w:rsidR="00B65FEC" w:rsidRPr="00EE50FB">
        <w:rPr>
          <w:noProof/>
        </w:rPr>
        <w:t xml:space="preserve"> neni</w:t>
      </w:r>
      <w:r w:rsidR="00AA42A4">
        <w:rPr>
          <w:noProof/>
        </w:rPr>
        <w:t>t</w:t>
      </w:r>
      <w:r w:rsidR="00B65FEC" w:rsidRPr="00EE50FB">
        <w:rPr>
          <w:noProof/>
        </w:rPr>
        <w:t xml:space="preserve"> </w:t>
      </w:r>
      <w:r w:rsidR="00035CBB" w:rsidRPr="00EE50FB">
        <w:rPr>
          <w:noProof/>
        </w:rPr>
        <w:t>125</w:t>
      </w:r>
      <w:r w:rsidR="00B65FEC" w:rsidRPr="00EE50FB">
        <w:rPr>
          <w:noProof/>
        </w:rPr>
        <w:t>. të Statutit</w:t>
      </w:r>
      <w:r w:rsidR="00035CBB" w:rsidRPr="00EE50FB">
        <w:rPr>
          <w:noProof/>
        </w:rPr>
        <w:t xml:space="preserve"> të komunës  së Bujanocit (“Gaze</w:t>
      </w:r>
      <w:r w:rsidR="002C1E6B" w:rsidRPr="00EE50FB">
        <w:rPr>
          <w:noProof/>
        </w:rPr>
        <w:t xml:space="preserve">ta </w:t>
      </w:r>
      <w:r w:rsidR="00B65FEC" w:rsidRPr="00EE50FB">
        <w:rPr>
          <w:noProof/>
        </w:rPr>
        <w:t xml:space="preserve">zyrtare e </w:t>
      </w:r>
      <w:r w:rsidR="00035CBB" w:rsidRPr="00EE50FB">
        <w:rPr>
          <w:noProof/>
        </w:rPr>
        <w:t>komunës së Bujanocit</w:t>
      </w:r>
      <w:r w:rsidR="00B65FEC" w:rsidRPr="00EE50FB">
        <w:rPr>
          <w:noProof/>
        </w:rPr>
        <w:t xml:space="preserve">”, nr. </w:t>
      </w:r>
      <w:r w:rsidR="00035CBB" w:rsidRPr="00EE50FB">
        <w:rPr>
          <w:noProof/>
        </w:rPr>
        <w:t>5/19</w:t>
      </w:r>
      <w:r w:rsidR="00B65FEC" w:rsidRPr="00EE50FB">
        <w:rPr>
          <w:noProof/>
        </w:rPr>
        <w:t xml:space="preserve">), </w:t>
      </w:r>
      <w:r w:rsidR="00035CBB" w:rsidRPr="00EE50FB">
        <w:rPr>
          <w:noProof/>
        </w:rPr>
        <w:t xml:space="preserve">dhe nenit 135. Paragrafi 1. Pika 1. Të regullores mbi punën e </w:t>
      </w:r>
      <w:r w:rsidR="00B65FEC" w:rsidRPr="00EE50FB">
        <w:rPr>
          <w:noProof/>
        </w:rPr>
        <w:t>Kuvendi</w:t>
      </w:r>
      <w:r w:rsidR="00035CBB" w:rsidRPr="00EE50FB">
        <w:rPr>
          <w:noProof/>
        </w:rPr>
        <w:t>t komunal të</w:t>
      </w:r>
      <w:r w:rsidR="00B65FEC" w:rsidRPr="00EE50FB">
        <w:rPr>
          <w:noProof/>
        </w:rPr>
        <w:t xml:space="preserve"> komunës së Bujanocit</w:t>
      </w:r>
      <w:r w:rsidR="00035CBB" w:rsidRPr="00EE50FB">
        <w:rPr>
          <w:noProof/>
        </w:rPr>
        <w:t xml:space="preserve"> (“Gazeta zyrtare e komunës së Bujanocit”, nr. 11/19), Kuvendi i komunës së Bujanocit </w:t>
      </w:r>
      <w:r w:rsidR="00B65FEC" w:rsidRPr="00EE50FB">
        <w:rPr>
          <w:noProof/>
        </w:rPr>
        <w:t>në seancën e mbajtur më</w:t>
      </w:r>
      <w:r w:rsidR="002C1E6B" w:rsidRPr="00EE50FB">
        <w:rPr>
          <w:noProof/>
        </w:rPr>
        <w:t xml:space="preserve"> </w:t>
      </w:r>
      <w:r w:rsidR="002C2B72">
        <w:rPr>
          <w:noProof/>
          <w:lang/>
        </w:rPr>
        <w:t>27.12.</w:t>
      </w:r>
      <w:r w:rsidR="00987969">
        <w:rPr>
          <w:noProof/>
        </w:rPr>
        <w:t>2024</w:t>
      </w:r>
      <w:r w:rsidR="00352268">
        <w:rPr>
          <w:noProof/>
        </w:rPr>
        <w:t>.</w:t>
      </w:r>
      <w:r w:rsidR="00035CBB" w:rsidRPr="00EE50FB">
        <w:rPr>
          <w:noProof/>
        </w:rPr>
        <w:t>v</w:t>
      </w:r>
      <w:r w:rsidR="002C1E6B" w:rsidRPr="00EE50FB">
        <w:rPr>
          <w:noProof/>
        </w:rPr>
        <w:t>.</w:t>
      </w:r>
      <w:r w:rsidR="00035CBB" w:rsidRPr="00EE50FB">
        <w:rPr>
          <w:noProof/>
        </w:rPr>
        <w:t xml:space="preserve"> </w:t>
      </w:r>
      <w:r w:rsidR="002C1E6B" w:rsidRPr="00EE50FB">
        <w:rPr>
          <w:noProof/>
        </w:rPr>
        <w:t>aprovoi</w:t>
      </w:r>
      <w:r w:rsidR="00B65FEC" w:rsidRPr="00EE50FB">
        <w:rPr>
          <w:noProof/>
        </w:rPr>
        <w:t xml:space="preserve"> këtë 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both"/>
        <w:rPr>
          <w:noProof/>
        </w:rPr>
      </w:pPr>
    </w:p>
    <w:p w:rsidR="00967F19" w:rsidRPr="00EE50FB" w:rsidRDefault="00967F19" w:rsidP="00967F19">
      <w:pPr>
        <w:jc w:val="center"/>
        <w:outlineLvl w:val="0"/>
        <w:rPr>
          <w:b/>
          <w:noProof/>
        </w:rPr>
      </w:pPr>
      <w:r w:rsidRPr="00EE50FB">
        <w:rPr>
          <w:b/>
          <w:bCs/>
          <w:noProof/>
        </w:rPr>
        <w:t>О Д Л У К У</w:t>
      </w:r>
    </w:p>
    <w:p w:rsidR="00967F19" w:rsidRPr="00EE50FB" w:rsidRDefault="00967F19" w:rsidP="00967F19">
      <w:pPr>
        <w:jc w:val="center"/>
        <w:rPr>
          <w:b/>
          <w:bCs/>
          <w:noProof/>
        </w:rPr>
      </w:pPr>
      <w:r w:rsidRPr="00EE50FB">
        <w:rPr>
          <w:b/>
          <w:bCs/>
          <w:noProof/>
        </w:rPr>
        <w:t>О УТВРЂИВАЊУ ДОПРИНОСА ЗА УРЕЂИВАЊЕ</w:t>
      </w:r>
    </w:p>
    <w:p w:rsidR="00967F19" w:rsidRPr="00EE50FB" w:rsidRDefault="00967F19" w:rsidP="00967F19">
      <w:pPr>
        <w:jc w:val="center"/>
        <w:rPr>
          <w:b/>
          <w:noProof/>
        </w:rPr>
      </w:pPr>
      <w:r w:rsidRPr="00EE50FB">
        <w:rPr>
          <w:b/>
          <w:bCs/>
          <w:noProof/>
        </w:rPr>
        <w:t>ГРАЂЕВИНСКОГ ЗЕМЉИШТА</w:t>
      </w:r>
      <w:r w:rsidRPr="00EE50FB">
        <w:rPr>
          <w:b/>
          <w:noProof/>
        </w:rPr>
        <w:t>,  КРИТЕРИЈУМИMA И МЕРИЛИМА ЗА УТВРЂИВАЊУ ЗАКУПНИНЕ  ГРАЂЕВИНСКОГ ЗЕМЉИШТА ЗА 20</w:t>
      </w:r>
      <w:r w:rsidR="00AF5E78">
        <w:rPr>
          <w:b/>
          <w:noProof/>
        </w:rPr>
        <w:t>25</w:t>
      </w:r>
      <w:r w:rsidRPr="00EE50FB">
        <w:rPr>
          <w:b/>
          <w:noProof/>
        </w:rPr>
        <w:t>.ГОДИНУ</w:t>
      </w:r>
    </w:p>
    <w:p w:rsidR="00967F19" w:rsidRPr="00EE50FB" w:rsidRDefault="00967F19" w:rsidP="00967F19">
      <w:pPr>
        <w:rPr>
          <w:noProof/>
        </w:rPr>
      </w:pPr>
    </w:p>
    <w:p w:rsidR="00967F19" w:rsidRPr="00EE50FB" w:rsidRDefault="00967F19" w:rsidP="00967F19">
      <w:pPr>
        <w:rPr>
          <w:b/>
          <w:noProof/>
        </w:rPr>
      </w:pPr>
      <w:r w:rsidRPr="00EE50FB">
        <w:rPr>
          <w:b/>
          <w:noProof/>
        </w:rPr>
        <w:t xml:space="preserve">                         </w:t>
      </w:r>
      <w:r w:rsidR="002C1E6B" w:rsidRPr="00EE50FB">
        <w:rPr>
          <w:b/>
          <w:noProof/>
        </w:rPr>
        <w:t xml:space="preserve">  </w:t>
      </w:r>
      <w:r w:rsidR="00CF56CE" w:rsidRPr="00EE50FB">
        <w:rPr>
          <w:b/>
          <w:noProof/>
        </w:rPr>
        <w:t xml:space="preserve">                 </w:t>
      </w:r>
      <w:r w:rsidR="002C2B72">
        <w:rPr>
          <w:b/>
          <w:noProof/>
          <w:lang/>
        </w:rPr>
        <w:tab/>
      </w:r>
      <w:r w:rsidR="002C2B72">
        <w:rPr>
          <w:b/>
          <w:noProof/>
          <w:lang/>
        </w:rPr>
        <w:tab/>
      </w:r>
      <w:r w:rsidRPr="00EE50FB">
        <w:rPr>
          <w:b/>
          <w:noProof/>
        </w:rPr>
        <w:t>V E N D I M</w:t>
      </w:r>
      <w:r w:rsidR="002C1E6B" w:rsidRPr="00EE50FB">
        <w:rPr>
          <w:b/>
          <w:noProof/>
        </w:rPr>
        <w:t xml:space="preserve"> </w:t>
      </w:r>
      <w:r w:rsidRPr="00EE50FB">
        <w:rPr>
          <w:b/>
          <w:noProof/>
        </w:rPr>
        <w:t>I</w:t>
      </w:r>
      <w:r w:rsidR="002C1E6B" w:rsidRPr="00EE50FB">
        <w:rPr>
          <w:b/>
          <w:noProof/>
        </w:rPr>
        <w:t xml:space="preserve"> </w:t>
      </w:r>
      <w:r w:rsidRPr="00EE50FB">
        <w:rPr>
          <w:b/>
          <w:noProof/>
        </w:rPr>
        <w:t>N</w:t>
      </w:r>
    </w:p>
    <w:p w:rsidR="00967F19" w:rsidRPr="00EE50FB" w:rsidRDefault="00967F19" w:rsidP="00967F19">
      <w:pPr>
        <w:jc w:val="center"/>
        <w:rPr>
          <w:b/>
          <w:noProof/>
        </w:rPr>
      </w:pPr>
      <w:r w:rsidRPr="00EE50FB">
        <w:rPr>
          <w:b/>
          <w:noProof/>
        </w:rPr>
        <w:t>MBI PËRCAKTIMIN E KONTRIBUTIT PËR RREGULLIMIN E</w:t>
      </w:r>
    </w:p>
    <w:p w:rsidR="00967F19" w:rsidRPr="00EE50FB" w:rsidRDefault="00967F19" w:rsidP="00967F19">
      <w:pPr>
        <w:jc w:val="center"/>
        <w:rPr>
          <w:b/>
          <w:noProof/>
        </w:rPr>
      </w:pPr>
      <w:r w:rsidRPr="00EE50FB">
        <w:rPr>
          <w:b/>
          <w:noProof/>
        </w:rPr>
        <w:t xml:space="preserve">TOKËS NDËRTIMORE, KRITERET DHE MASAT E PËRCAKTIMIT TE QIRASË PËR  TOKËN NDËRTIMORE PËR VITIN </w:t>
      </w:r>
      <w:r w:rsidR="00AF5E78">
        <w:rPr>
          <w:b/>
          <w:noProof/>
        </w:rPr>
        <w:t>2025</w:t>
      </w:r>
    </w:p>
    <w:p w:rsidR="00B65FEC" w:rsidRPr="00EE50FB" w:rsidRDefault="00B65FEC" w:rsidP="00B65FEC">
      <w:pPr>
        <w:rPr>
          <w:b/>
          <w:noProof/>
        </w:rPr>
      </w:pPr>
      <w:r w:rsidRPr="00EE50FB">
        <w:rPr>
          <w:b/>
          <w:noProof/>
        </w:rPr>
        <w:t xml:space="preserve"> </w:t>
      </w:r>
    </w:p>
    <w:p w:rsidR="00B65FEC" w:rsidRPr="00EE50FB" w:rsidRDefault="00B65FEC" w:rsidP="00B65FEC">
      <w:pPr>
        <w:rPr>
          <w:b/>
          <w:noProof/>
        </w:rPr>
      </w:pPr>
    </w:p>
    <w:p w:rsidR="00B65FEC" w:rsidRPr="00EE50FB" w:rsidRDefault="00B65FEC" w:rsidP="00B65FEC">
      <w:pPr>
        <w:rPr>
          <w:b/>
          <w:noProof/>
        </w:rPr>
      </w:pPr>
    </w:p>
    <w:p w:rsidR="00B65FEC" w:rsidRPr="00EE50FB" w:rsidRDefault="00B65FEC" w:rsidP="00B65FEC">
      <w:pPr>
        <w:ind w:firstLine="720"/>
        <w:outlineLvl w:val="0"/>
        <w:rPr>
          <w:b/>
          <w:noProof/>
        </w:rPr>
      </w:pPr>
      <w:r w:rsidRPr="00EE50FB">
        <w:rPr>
          <w:b/>
          <w:noProof/>
        </w:rPr>
        <w:t>I  ОСНОВНЕ ОДРЕДБЕ</w:t>
      </w:r>
    </w:p>
    <w:p w:rsidR="00B65FEC" w:rsidRPr="00EE50FB" w:rsidRDefault="00B65FEC" w:rsidP="00B65FEC">
      <w:pPr>
        <w:rPr>
          <w:b/>
          <w:noProof/>
        </w:rPr>
      </w:pP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b/>
          <w:noProof/>
        </w:rPr>
        <w:t xml:space="preserve">             I. DISPOZITAT BAZË </w:t>
      </w:r>
    </w:p>
    <w:p w:rsidR="00B65FEC" w:rsidRPr="00EE50FB" w:rsidRDefault="00B65FEC" w:rsidP="00B65FEC">
      <w:pPr>
        <w:rPr>
          <w:b/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noProof/>
        </w:rPr>
        <w:t>Члан -Neni 1.</w:t>
      </w:r>
    </w:p>
    <w:p w:rsidR="00B65FEC" w:rsidRPr="00EE50FB" w:rsidRDefault="00B65FEC" w:rsidP="00B65FEC">
      <w:pPr>
        <w:jc w:val="center"/>
        <w:outlineLvl w:val="0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outlineLvl w:val="0"/>
        <w:rPr>
          <w:noProof/>
        </w:rPr>
      </w:pPr>
      <w:r w:rsidRPr="00EE50FB">
        <w:rPr>
          <w:noProof/>
        </w:rPr>
        <w:t xml:space="preserve">Овом Одлуком прописује се поступак обрачуна и наплате доприноса за уређивање грађевинског земљишта, зоне и врсте намена објеката, износи коефицијената зоне и намене, критеријуми, износ и поступак умањивања доприноса, посебна умањења за недостајућу инфраструктуру и услови и начин обрачуна умањења за трошкове инфраструктурног опремања средствима инвеститора као и друга питања од значаја за обрачун и наплату доприноса за уређивање грађевинског земљишта.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Me këtë Vendim përcaktohet procedura e llogaritjes dhe pagesa e  kontributit për rregullimin e tokës ndërtimore të zonës dhe llojit të dedikimit të objektit, shuma e koeficientëve të zonës dhe dedikimit, kriteret, shuma dhe procedura e zvogëlimit të </w:t>
      </w:r>
      <w:r w:rsidRPr="00EE50FB">
        <w:rPr>
          <w:noProof/>
        </w:rPr>
        <w:lastRenderedPageBreak/>
        <w:t xml:space="preserve">kontributit, zvoglimi i pagesës për mungesën e infrastrukturës, kushtet dhe mënyra e llogaritjes së reduktimit për shpenzimet e kompletimit të infrastrukturës me mjetet e investitorit si dhe çështjet tjera me rëndësi për llogaritjen dhe pagesën e kontributit për rregullimin e tokës ndërtimore. </w:t>
      </w:r>
    </w:p>
    <w:p w:rsidR="007C4A57" w:rsidRPr="00EE50FB" w:rsidRDefault="007C4A57" w:rsidP="007C4A57">
      <w:pPr>
        <w:spacing w:before="240"/>
        <w:ind w:firstLine="708"/>
        <w:jc w:val="both"/>
        <w:rPr>
          <w:noProof/>
        </w:rPr>
      </w:pPr>
      <w:r w:rsidRPr="00EE50FB">
        <w:rPr>
          <w:noProof/>
        </w:rPr>
        <w:t xml:space="preserve">Такође овом одлуком утврђују се критеријуми и мерила за обрачун и уговарање висине закупнине </w:t>
      </w:r>
      <w:r w:rsidR="00C31088" w:rsidRPr="00EE50FB">
        <w:rPr>
          <w:noProof/>
        </w:rPr>
        <w:t xml:space="preserve">јавне својине </w:t>
      </w:r>
      <w:r w:rsidRPr="00EE50FB">
        <w:rPr>
          <w:noProof/>
        </w:rPr>
        <w:t xml:space="preserve">за подручје општине Бујановац. </w:t>
      </w:r>
    </w:p>
    <w:p w:rsidR="00022859" w:rsidRPr="00EE50FB" w:rsidRDefault="007C4A57" w:rsidP="00022859">
      <w:pPr>
        <w:rPr>
          <w:noProof/>
        </w:rPr>
      </w:pPr>
      <w:r w:rsidRPr="00EE50FB">
        <w:rPr>
          <w:noProof/>
        </w:rPr>
        <w:t xml:space="preserve">Gjithashtu me këtë Vendim përcaktohen kritetret dhe masat për llogaritjen dhe kontraktimin e lartësisë së qirasë </w:t>
      </w:r>
      <w:r w:rsidR="00C31088" w:rsidRPr="00EE50FB">
        <w:rPr>
          <w:noProof/>
        </w:rPr>
        <w:t xml:space="preserve">në pronësi publike </w:t>
      </w:r>
      <w:r w:rsidRPr="00EE50FB">
        <w:rPr>
          <w:noProof/>
        </w:rPr>
        <w:t>për teritorin e komunës së Bujanocit.</w:t>
      </w:r>
    </w:p>
    <w:p w:rsidR="00022859" w:rsidRPr="00EE50FB" w:rsidRDefault="00022859" w:rsidP="0003193F">
      <w:pPr>
        <w:ind w:firstLine="708"/>
        <w:jc w:val="both"/>
        <w:rPr>
          <w:bCs/>
          <w:noProof/>
        </w:rPr>
      </w:pPr>
    </w:p>
    <w:p w:rsidR="00F82ABB" w:rsidRPr="00EE50FB" w:rsidRDefault="00F82ABB" w:rsidP="0003193F">
      <w:pPr>
        <w:ind w:firstLine="708"/>
        <w:jc w:val="both"/>
        <w:rPr>
          <w:bCs/>
          <w:noProof/>
        </w:rPr>
      </w:pPr>
    </w:p>
    <w:p w:rsidR="00F82ABB" w:rsidRPr="00EE50FB" w:rsidRDefault="00F82ABB" w:rsidP="0003193F">
      <w:pPr>
        <w:ind w:firstLine="708"/>
        <w:jc w:val="both"/>
        <w:rPr>
          <w:bCs/>
          <w:noProof/>
        </w:rPr>
      </w:pPr>
    </w:p>
    <w:p w:rsidR="0003193F" w:rsidRPr="00EE50FB" w:rsidRDefault="0003193F" w:rsidP="0003193F">
      <w:pPr>
        <w:jc w:val="both"/>
        <w:rPr>
          <w:b/>
          <w:bCs/>
          <w:noProof/>
        </w:rPr>
      </w:pPr>
      <w:r w:rsidRPr="00EE50FB">
        <w:rPr>
          <w:b/>
          <w:bCs/>
          <w:noProof/>
        </w:rPr>
        <w:t xml:space="preserve">II   УТВРЂИВАЊЕ ДОПРИНОСА ЗА УРЕЂИВАЊЕ ГРАЂЕВИНСКОГ </w:t>
      </w:r>
    </w:p>
    <w:p w:rsidR="007C4A57" w:rsidRPr="00EE50FB" w:rsidRDefault="0003193F" w:rsidP="0003193F">
      <w:pPr>
        <w:jc w:val="both"/>
        <w:rPr>
          <w:b/>
          <w:noProof/>
        </w:rPr>
      </w:pPr>
      <w:r w:rsidRPr="00EE50FB">
        <w:rPr>
          <w:b/>
          <w:bCs/>
          <w:noProof/>
        </w:rPr>
        <w:t xml:space="preserve">       ЗЕМЉИШТА  </w:t>
      </w:r>
    </w:p>
    <w:p w:rsidR="00A84965" w:rsidRPr="00EE50FB" w:rsidRDefault="000F5304" w:rsidP="0003193F">
      <w:pPr>
        <w:jc w:val="both"/>
        <w:rPr>
          <w:b/>
          <w:noProof/>
        </w:rPr>
      </w:pPr>
      <w:r w:rsidRPr="00EE50FB">
        <w:rPr>
          <w:b/>
          <w:noProof/>
        </w:rPr>
        <w:t xml:space="preserve">II   </w:t>
      </w:r>
      <w:r w:rsidR="00A5212D" w:rsidRPr="00EE50FB">
        <w:rPr>
          <w:b/>
          <w:noProof/>
        </w:rPr>
        <w:t xml:space="preserve">PËRCAKTIMI I KONTRIBUTIT PËR RREGULLIMIN E TOKËS     </w:t>
      </w:r>
    </w:p>
    <w:p w:rsidR="00A5212D" w:rsidRPr="00EE50FB" w:rsidRDefault="00A5212D" w:rsidP="0003193F">
      <w:pPr>
        <w:jc w:val="both"/>
        <w:rPr>
          <w:b/>
          <w:noProof/>
        </w:rPr>
      </w:pPr>
      <w:r w:rsidRPr="00EE50FB">
        <w:rPr>
          <w:b/>
          <w:noProof/>
        </w:rPr>
        <w:t xml:space="preserve">      NDËRTIMORE</w:t>
      </w:r>
    </w:p>
    <w:p w:rsidR="00F82ABB" w:rsidRPr="00EE50FB" w:rsidRDefault="00F82ABB" w:rsidP="0003193F">
      <w:pPr>
        <w:jc w:val="both"/>
        <w:rPr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noProof/>
        </w:rPr>
        <w:t>Члан - Neni 2.</w:t>
      </w:r>
    </w:p>
    <w:p w:rsidR="00B65FEC" w:rsidRPr="00EE50FB" w:rsidRDefault="00B65FEC" w:rsidP="00B65FEC">
      <w:pPr>
        <w:jc w:val="center"/>
        <w:outlineLvl w:val="0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Уређивање грађевинског земљишта обухвата његово припремање и опремање. </w:t>
      </w:r>
    </w:p>
    <w:p w:rsidR="005F20E3" w:rsidRPr="00EE50FB" w:rsidRDefault="005F20E3" w:rsidP="005F20E3">
      <w:pPr>
        <w:ind w:firstLine="720"/>
        <w:jc w:val="both"/>
        <w:rPr>
          <w:noProof/>
        </w:rPr>
      </w:pPr>
      <w:r w:rsidRPr="00EE50FB">
        <w:rPr>
          <w:noProof/>
        </w:rPr>
        <w:t xml:space="preserve">Rregullimi i tokës ndërtimore përfshin përgaditjen dhe kompletimin e saj. </w:t>
      </w:r>
    </w:p>
    <w:p w:rsidR="00B65FEC" w:rsidRPr="00EE50FB" w:rsidRDefault="00B65FEC" w:rsidP="005F20E3">
      <w:pPr>
        <w:spacing w:before="240"/>
        <w:ind w:firstLine="720"/>
        <w:jc w:val="both"/>
        <w:rPr>
          <w:noProof/>
        </w:rPr>
      </w:pPr>
      <w:r w:rsidRPr="00EE50FB">
        <w:rPr>
          <w:noProof/>
        </w:rPr>
        <w:t xml:space="preserve">Припремање земљишта обухвата истражне радове, израду геодетских, геолошких и других подлога, израду планске и техничке документације, програма за уређивање грађевинског земљишта, расељавање, уклањање објеката, санирање терена и друге радове. Опремање земљишта обухвата изградњу објеката комуналне инфраструктуре и изградњу и уређење површина јавне намене. </w:t>
      </w:r>
    </w:p>
    <w:p w:rsidR="005F20E3" w:rsidRPr="00EE50FB" w:rsidRDefault="005F20E3" w:rsidP="005F20E3">
      <w:pPr>
        <w:ind w:firstLine="720"/>
        <w:jc w:val="both"/>
        <w:rPr>
          <w:b/>
          <w:noProof/>
        </w:rPr>
      </w:pPr>
      <w:r w:rsidRPr="00EE50FB">
        <w:rPr>
          <w:noProof/>
        </w:rPr>
        <w:t xml:space="preserve">Përgaditja e tokës përfshin punët hulumtuese, hartimin e shtresës(bazës) se gjeodezisë, gjeologjisë etj., hartimin e dokumentacionit planor dhe teknik, programin për rregullimin e tokës ndërtimore, shpërnguljen, mënjanimin e objekteve, sanimin e terenit dhe punët tjera. Paisja e tokës përfshin ndërtimin e  infrastrukturës komunale, ndërtimin dhe rregullimin e sipërfaqeve me dedikim publik. </w:t>
      </w:r>
    </w:p>
    <w:p w:rsidR="00B65FEC" w:rsidRPr="00EE50FB" w:rsidRDefault="00B65FEC" w:rsidP="005F20E3">
      <w:pPr>
        <w:pStyle w:val="1tekst"/>
        <w:spacing w:before="240"/>
        <w:ind w:left="0" w:right="0" w:firstLine="720"/>
        <w:rPr>
          <w:rFonts w:ascii="Times New Roman" w:hAnsi="Times New Roman" w:cs="Times New Roman"/>
          <w:bCs/>
          <w:noProof/>
          <w:sz w:val="24"/>
          <w:szCs w:val="24"/>
        </w:rPr>
      </w:pPr>
      <w:r w:rsidRPr="00EE50FB">
        <w:rPr>
          <w:rFonts w:ascii="Times New Roman" w:hAnsi="Times New Roman" w:cs="Times New Roman"/>
          <w:bCs/>
          <w:noProof/>
          <w:sz w:val="24"/>
          <w:szCs w:val="24"/>
        </w:rPr>
        <w:t xml:space="preserve">Уређивање грађевинског земљишта врши се према средњорочним и годишњим програмима уређивања. </w:t>
      </w:r>
    </w:p>
    <w:p w:rsidR="00B65FEC" w:rsidRPr="00EE50FB" w:rsidRDefault="00B65FEC" w:rsidP="005F20E3">
      <w:pPr>
        <w:ind w:firstLine="720"/>
        <w:jc w:val="both"/>
        <w:rPr>
          <w:noProof/>
        </w:rPr>
      </w:pPr>
      <w:r w:rsidRPr="00EE50FB">
        <w:rPr>
          <w:noProof/>
        </w:rPr>
        <w:t xml:space="preserve">Rregullimi i tokës ndërtimore bëhet sipas programit afatmesëm dhe vjetor të rregullimit. 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noProof/>
        </w:rPr>
        <w:t xml:space="preserve">    </w:t>
      </w:r>
      <w:r w:rsidRPr="00EE50FB">
        <w:rPr>
          <w:b/>
          <w:bCs/>
          <w:noProof/>
        </w:rPr>
        <w:t>Члан -</w:t>
      </w:r>
      <w:r w:rsidRPr="00EE50FB">
        <w:rPr>
          <w:b/>
          <w:noProof/>
        </w:rPr>
        <w:t xml:space="preserve"> Neni 3.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outlineLvl w:val="0"/>
        <w:rPr>
          <w:noProof/>
        </w:rPr>
      </w:pPr>
      <w:r w:rsidRPr="00EE50FB">
        <w:rPr>
          <w:noProof/>
        </w:rPr>
        <w:t>Допринос за уређивање грађевинског земљишта плаћа инвеститор.</w:t>
      </w:r>
    </w:p>
    <w:p w:rsidR="00B65FEC" w:rsidRPr="00EE50FB" w:rsidRDefault="00B65FEC" w:rsidP="00B65FEC">
      <w:pPr>
        <w:jc w:val="both"/>
        <w:rPr>
          <w:b/>
          <w:noProof/>
        </w:rPr>
      </w:pPr>
      <w:r w:rsidRPr="00EE50FB">
        <w:rPr>
          <w:noProof/>
        </w:rPr>
        <w:t>Средства добијена од доприноса за уређивање грађевинског земљишта користе се за уређивање и прибављање грађевинског земљишта у јавну својину, и за изградњу и одржавање објеката комуналне инфраструктуре.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Kontributin për rregullimin e tokës ndërtimore e paguan investitori. 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lastRenderedPageBreak/>
        <w:t xml:space="preserve">Mjetet e marrura nga kontributi për rregullimin e tokës ndërtimore shfrytëzohen për rregullimin dhe pervetsimin e tokës ndërtimore në pronë publike dhe për ndërtimin dhe mirëmbajtjen e objekteve të infrastrukturës komunale. 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</w:t>
      </w:r>
    </w:p>
    <w:p w:rsidR="00F82ABB" w:rsidRPr="00EE50FB" w:rsidRDefault="00F82ABB" w:rsidP="00B65FEC">
      <w:pPr>
        <w:jc w:val="both"/>
        <w:rPr>
          <w:noProof/>
        </w:rPr>
      </w:pPr>
    </w:p>
    <w:p w:rsidR="00B65FEC" w:rsidRPr="00EE50FB" w:rsidRDefault="000C6926" w:rsidP="00B65FEC">
      <w:pPr>
        <w:jc w:val="both"/>
        <w:rPr>
          <w:b/>
          <w:noProof/>
        </w:rPr>
      </w:pPr>
      <w:r w:rsidRPr="00EE50FB">
        <w:rPr>
          <w:b/>
          <w:noProof/>
        </w:rPr>
        <w:t xml:space="preserve">  </w:t>
      </w:r>
      <w:r w:rsidR="00B65FEC" w:rsidRPr="00EE50FB">
        <w:rPr>
          <w:b/>
          <w:noProof/>
        </w:rPr>
        <w:t xml:space="preserve"> </w:t>
      </w:r>
      <w:r w:rsidR="00B65FEC" w:rsidRPr="00EE50FB">
        <w:rPr>
          <w:b/>
          <w:bCs/>
          <w:noProof/>
        </w:rPr>
        <w:t>II</w:t>
      </w:r>
      <w:r w:rsidRPr="00EE50FB">
        <w:rPr>
          <w:b/>
          <w:bCs/>
          <w:noProof/>
        </w:rPr>
        <w:t>I</w:t>
      </w:r>
      <w:r w:rsidR="00B65FEC" w:rsidRPr="00EE50FB">
        <w:rPr>
          <w:b/>
          <w:bCs/>
          <w:noProof/>
        </w:rPr>
        <w:t>.  ОБРАЧУН ДОПРИНОСА</w:t>
      </w:r>
    </w:p>
    <w:p w:rsidR="00B65FEC" w:rsidRPr="00EE50FB" w:rsidRDefault="00B65FEC" w:rsidP="00B65FEC">
      <w:pPr>
        <w:jc w:val="both"/>
        <w:rPr>
          <w:b/>
          <w:noProof/>
        </w:rPr>
      </w:pPr>
      <w:r w:rsidRPr="00EE50FB">
        <w:rPr>
          <w:b/>
          <w:noProof/>
        </w:rPr>
        <w:t xml:space="preserve">   II</w:t>
      </w:r>
      <w:r w:rsidR="000C6926" w:rsidRPr="00EE50FB">
        <w:rPr>
          <w:b/>
          <w:noProof/>
        </w:rPr>
        <w:t>I</w:t>
      </w:r>
      <w:r w:rsidRPr="00EE50FB">
        <w:rPr>
          <w:b/>
          <w:noProof/>
        </w:rPr>
        <w:t>.</w:t>
      </w:r>
      <w:r w:rsidR="000C6926" w:rsidRPr="00EE50FB">
        <w:rPr>
          <w:b/>
          <w:noProof/>
        </w:rPr>
        <w:t xml:space="preserve"> </w:t>
      </w:r>
      <w:r w:rsidRPr="00EE50FB">
        <w:rPr>
          <w:b/>
          <w:noProof/>
        </w:rPr>
        <w:t xml:space="preserve"> LLOGARITJA E KONTRIBUTIT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noProof/>
        </w:rPr>
        <w:t>Члан - Neni 4.</w:t>
      </w:r>
    </w:p>
    <w:p w:rsidR="00B65FEC" w:rsidRPr="00EE50FB" w:rsidRDefault="00B65FEC" w:rsidP="00B65FEC">
      <w:pPr>
        <w:jc w:val="center"/>
        <w:outlineLvl w:val="0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Износ доприноса се утврђује решењем о издавању грађевинске дозволе, а на основу обрачуна доприноса који врши </w:t>
      </w:r>
      <w:r w:rsidR="00437047" w:rsidRPr="00EE50FB">
        <w:rPr>
          <w:noProof/>
        </w:rPr>
        <w:t>Одељење</w:t>
      </w:r>
      <w:r w:rsidRPr="00EE50FB">
        <w:rPr>
          <w:noProof/>
        </w:rPr>
        <w:t xml:space="preserve"> за </w:t>
      </w:r>
      <w:r w:rsidR="00437047" w:rsidRPr="00EE50FB">
        <w:rPr>
          <w:noProof/>
        </w:rPr>
        <w:t>инвестиције и развој</w:t>
      </w:r>
      <w:r w:rsidRPr="00EE50FB">
        <w:rPr>
          <w:noProof/>
        </w:rPr>
        <w:t>.</w:t>
      </w:r>
    </w:p>
    <w:p w:rsidR="00F82ABB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Висина доприноса за уређивање грађевинског земљишта за изградњу објекта обрачунава се тако што се просечна цена квадратног метра станова новоградње у  општини Бујановац објављена од стране Републичког завода за статистику за територију општине  помножи са укупном нето површином објекта који је предмет градње, израженом у м² и са коефицијентом зоне и коефицијентом намене објекта утврђеним овом Одлуком.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Shuma e kontributit përcaktohet me aktvendimin mbi dhënjen e lejes së ndërtimit dhe në bazë të llogaritjes së kontributit që e bënë </w:t>
      </w:r>
      <w:r w:rsidR="00C31556" w:rsidRPr="00EE50FB">
        <w:rPr>
          <w:noProof/>
        </w:rPr>
        <w:t>D</w:t>
      </w:r>
      <w:r w:rsidR="00437047" w:rsidRPr="00EE50FB">
        <w:rPr>
          <w:noProof/>
        </w:rPr>
        <w:t>rejtorati për investime dhe zhvillim</w:t>
      </w:r>
      <w:r w:rsidRPr="00EE50FB">
        <w:rPr>
          <w:noProof/>
        </w:rPr>
        <w:t xml:space="preserve">. </w:t>
      </w:r>
    </w:p>
    <w:p w:rsidR="006E12BD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    Lartësia e kontributit për rregullimin e tokës ndërtimore për ndërtimin e objekteve llogaritet ashtu që çmimi mesatar i metrit katror i banesave të posandërtuara në komunën e Bujanocit e shpallur nga ana e Entit Republikan për statistik në territorin e komunës, të shumëzohet me sipërfaqen e tërsishme neto të objektit që është lëndë e ndërtimit e paraqitur në m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dhe me koeficientin e zonës dhe koeficientin e dedikimit të objektit të përcaktuar me këtë Vendim.  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bCs/>
          <w:noProof/>
        </w:rPr>
        <w:t>Члан -</w:t>
      </w:r>
      <w:r w:rsidRPr="00EE50FB">
        <w:rPr>
          <w:b/>
          <w:noProof/>
        </w:rPr>
        <w:t>Neni 5.</w:t>
      </w:r>
    </w:p>
    <w:p w:rsidR="00B65FEC" w:rsidRPr="00EE50FB" w:rsidRDefault="00B65FEC" w:rsidP="00B65FEC">
      <w:pPr>
        <w:jc w:val="center"/>
        <w:outlineLvl w:val="0"/>
        <w:rPr>
          <w:b/>
          <w:bCs/>
          <w:noProof/>
        </w:rPr>
      </w:pP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>Грађевинско земљиште потпуно комунално опремљено за грађење је земљиште на коме је изграђен приступни пут са тротоаром и јавном расветом, водоводна и канализациона мрежа.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Допринос за уређивање грађевинског земљишта не обухвата трошкове електродистрибутивне мреже и објеката, ТТ мреже и објеката, кабловски дистрибутивни систем, мрежу и објекте топлификације и гасификације, које инвеститор посебно уговара са надлежним јавним предузећима.  </w:t>
      </w:r>
    </w:p>
    <w:p w:rsidR="00B65FEC" w:rsidRPr="00EE50FB" w:rsidRDefault="00B65FEC" w:rsidP="00F82ABB">
      <w:pPr>
        <w:ind w:firstLine="720"/>
        <w:jc w:val="both"/>
        <w:rPr>
          <w:noProof/>
        </w:rPr>
      </w:pPr>
      <w:r w:rsidRPr="00EE50FB">
        <w:rPr>
          <w:noProof/>
        </w:rPr>
        <w:t xml:space="preserve">Toka ndërtimore tërsisht e përgatitur me infrastruktur komunale për ndërtim është toka ku janë ndërtuar rruga hyrëse me trotoar dhe ndriçim publik, rrjeti i ujësjellsit si dhe rrjeti i kanalizimit. Kontributi për rregullimin e tokës ndërtimore nuk përfshin shpenzimet e rrjetit të elektrodistribucionit dhe objekteve, rrjetit të TT dhe objektet, sistemin kabllor distributiv, rrjetin dhe objektet e ngrohjes dhe gasifikimit, të cilat investitori veçmas i kontrakton me ndërmarrjen kompetente publike. </w:t>
      </w:r>
    </w:p>
    <w:p w:rsidR="00130FF9" w:rsidRPr="00EE50FB" w:rsidRDefault="00130FF9" w:rsidP="00C139DA">
      <w:pPr>
        <w:jc w:val="both"/>
        <w:rPr>
          <w:noProof/>
        </w:rPr>
      </w:pPr>
    </w:p>
    <w:p w:rsidR="00B65FEC" w:rsidRPr="00EE50FB" w:rsidRDefault="00B65FEC" w:rsidP="00F82ABB">
      <w:pPr>
        <w:jc w:val="both"/>
        <w:rPr>
          <w:noProof/>
        </w:rPr>
      </w:pPr>
    </w:p>
    <w:p w:rsidR="00FC31CD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</w:t>
      </w:r>
    </w:p>
    <w:p w:rsidR="00FC31CD" w:rsidRDefault="00FC31CD" w:rsidP="00B65FEC">
      <w:pPr>
        <w:jc w:val="both"/>
        <w:rPr>
          <w:noProof/>
        </w:rPr>
      </w:pPr>
    </w:p>
    <w:p w:rsidR="00FC31CD" w:rsidRDefault="00FC31CD" w:rsidP="00B65FEC">
      <w:pPr>
        <w:jc w:val="both"/>
        <w:rPr>
          <w:noProof/>
        </w:rPr>
      </w:pP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b/>
          <w:bCs/>
          <w:noProof/>
          <w:u w:val="single"/>
        </w:rPr>
        <w:lastRenderedPageBreak/>
        <w:t xml:space="preserve">a ) ЗОНЕ  </w:t>
      </w:r>
    </w:p>
    <w:p w:rsidR="00B65FEC" w:rsidRPr="00EE50FB" w:rsidRDefault="00B65FEC" w:rsidP="00B65FEC">
      <w:pPr>
        <w:numPr>
          <w:ilvl w:val="0"/>
          <w:numId w:val="3"/>
        </w:numPr>
        <w:jc w:val="both"/>
        <w:rPr>
          <w:b/>
          <w:noProof/>
        </w:rPr>
      </w:pPr>
      <w:r w:rsidRPr="00EE50FB">
        <w:rPr>
          <w:b/>
          <w:noProof/>
        </w:rPr>
        <w:t>ZONAT</w:t>
      </w:r>
    </w:p>
    <w:p w:rsidR="00B65FEC" w:rsidRPr="00EE50FB" w:rsidRDefault="00B65FEC" w:rsidP="00B65FEC">
      <w:pPr>
        <w:ind w:left="720"/>
        <w:jc w:val="both"/>
        <w:rPr>
          <w:b/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bCs/>
          <w:noProof/>
        </w:rPr>
        <w:t>Члан -</w:t>
      </w:r>
      <w:r w:rsidRPr="00EE50FB">
        <w:rPr>
          <w:b/>
          <w:noProof/>
        </w:rPr>
        <w:t>Neni 6.</w:t>
      </w:r>
    </w:p>
    <w:p w:rsidR="00B65FEC" w:rsidRPr="00EE50FB" w:rsidRDefault="00B65FEC" w:rsidP="00B65FEC">
      <w:pPr>
        <w:jc w:val="center"/>
        <w:outlineLvl w:val="0"/>
        <w:rPr>
          <w:b/>
          <w:bCs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За утврђивање доприноса за уређивање грађевинског земљишта </w:t>
      </w:r>
      <w:r w:rsidR="00263D7B" w:rsidRPr="00EE50FB">
        <w:rPr>
          <w:noProof/>
        </w:rPr>
        <w:t xml:space="preserve"> и закупнине </w:t>
      </w:r>
      <w:r w:rsidRPr="00EE50FB">
        <w:rPr>
          <w:noProof/>
        </w:rPr>
        <w:t xml:space="preserve">одређују се следеће зоне Општине Бујановац и то: 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ab/>
        <w:t xml:space="preserve">Për përcaktimin e kontributit për rregullimin e tokës ndërtimore </w:t>
      </w:r>
      <w:r w:rsidR="00263D7B" w:rsidRPr="00EE50FB">
        <w:rPr>
          <w:noProof/>
        </w:rPr>
        <w:t xml:space="preserve">dhe qirasë </w:t>
      </w:r>
      <w:r w:rsidRPr="00EE50FB">
        <w:rPr>
          <w:noProof/>
        </w:rPr>
        <w:t xml:space="preserve">caktohen zonat e Komunës Bujanocit dhe ate: 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noProof/>
        </w:rPr>
        <w:t>ПРВА ЗОНА- ZONA E PARË</w:t>
      </w:r>
    </w:p>
    <w:p w:rsidR="00B65FEC" w:rsidRPr="00EE50FB" w:rsidRDefault="00B65FEC" w:rsidP="00B65FEC">
      <w:pPr>
        <w:spacing w:before="240"/>
        <w:jc w:val="both"/>
        <w:rPr>
          <w:noProof/>
        </w:rPr>
      </w:pPr>
      <w:r w:rsidRPr="00EE50FB">
        <w:rPr>
          <w:noProof/>
        </w:rPr>
        <w:tab/>
        <w:t xml:space="preserve">Просторна јединица број: 1a, 1, 2, 3, 4, 5, 6, 7, 8, 9, 10, 11, 14, 15, 16, 17, 22, 23 и 24 (коју обухвата улице Карађорђа Петровића, Книнска, Пчињска, десна и део леве стране ул. Јосифа Јањића, Браћа Југовића, Саве Ковачевића, десна и део леве стране ул. Краља Милутина, Слободана Пенезића, Четврти  јули, део В.Степе Степановића, Вељка Влаховића, Браће Стошића, Вука Караджића, Први мај, Јована Цвијића, Хиландарска, Радомира Путника, Боре Станковића, део ул. </w:t>
      </w:r>
      <w:r w:rsidR="00E73C7F" w:rsidRPr="00EE50FB">
        <w:rPr>
          <w:noProof/>
        </w:rPr>
        <w:t>Иљаз Сељими</w:t>
      </w:r>
      <w:r w:rsidRPr="00EE50FB">
        <w:rPr>
          <w:noProof/>
        </w:rPr>
        <w:t xml:space="preserve">, део ул. Беким Фехмиу, део ул. Косовска, лева страна ул. Моравске, Драгољуба Динковића, Александра Станковића, Индустријска зона, Симе Погаћаревића и део ул. Гњиланског пута).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Njësia hapsinore numër: 1a, 1, 2,  3,  4,  5, 6, 7, 8, 9, 10, 11, 14, 15 16,17, 22, 23 dhe 24 (e cila përfshinë rrugët K. Petroviq, të Kninit, Pçinjës, ana e djathtë dhe një pjesë e anës së majtë të rrugës Josif  Janjiq, Vëllezërit Jugoviq, Sava Kovaçeviq, ana e djathtë dhe një pjesë e anës së majtë të rrugës së Mbretit Millutin, Sllobodan Peneziqit, Katër Korriku, një pjesë e V. Stepe Stepanoviq, Velko Vllahoviq, Vëllezërve Stoshiq, Vuk Karaxhiq, Një Maji, Jovan Cvijiqit, Hilandarit, Radomir Putnik, Bora Stankoviq, një pjesë e rr. Ilaz Selimi, një pjesë e rr. Bekim Feh</w:t>
      </w:r>
      <w:r w:rsidR="00E73C7F" w:rsidRPr="00EE50FB">
        <w:rPr>
          <w:noProof/>
        </w:rPr>
        <w:t>miu</w:t>
      </w:r>
      <w:r w:rsidRPr="00EE50FB">
        <w:rPr>
          <w:noProof/>
        </w:rPr>
        <w:t xml:space="preserve">, një pjesë e rr.së </w:t>
      </w:r>
      <w:r w:rsidR="00E73C7F" w:rsidRPr="00EE50FB">
        <w:rPr>
          <w:noProof/>
        </w:rPr>
        <w:t>Kosovës</w:t>
      </w:r>
      <w:r w:rsidRPr="00EE50FB">
        <w:rPr>
          <w:noProof/>
        </w:rPr>
        <w:t>, ana e majtë e Moravës, Dragolub Dimkoviq, Aleksandër Stankoviq, zona industriale, Sima Pogaçareviq dhe një pjesë e rrugës së Gjilanit).</w:t>
      </w:r>
    </w:p>
    <w:p w:rsidR="00B65FEC" w:rsidRPr="00EE50FB" w:rsidRDefault="00B65FEC" w:rsidP="00493D22">
      <w:pPr>
        <w:rPr>
          <w:b/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rPr>
          <w:b/>
          <w:noProof/>
        </w:rPr>
      </w:pPr>
      <w:r w:rsidRPr="00EE50FB">
        <w:rPr>
          <w:noProof/>
        </w:rPr>
        <w:t xml:space="preserve">                                             </w:t>
      </w:r>
      <w:r w:rsidRPr="00EE50FB">
        <w:rPr>
          <w:b/>
          <w:noProof/>
        </w:rPr>
        <w:t>ДРУГА ЗОНА- ZONA E DYTË</w:t>
      </w:r>
    </w:p>
    <w:p w:rsidR="00B65FEC" w:rsidRPr="00EE50FB" w:rsidRDefault="00B65FEC" w:rsidP="00B65FEC">
      <w:pPr>
        <w:spacing w:before="240"/>
        <w:ind w:firstLine="709"/>
        <w:jc w:val="both"/>
        <w:rPr>
          <w:noProof/>
        </w:rPr>
      </w:pPr>
      <w:r w:rsidRPr="00EE50FB">
        <w:rPr>
          <w:noProof/>
        </w:rPr>
        <w:t xml:space="preserve"> Просторна јединица број: 12, 13, 18, 19, 20, 21, 25, 33, и 44 (коју обухвата улице део ул. Јосифа Јањића, Стевана Синђелића, Хајдук Вељка, део ул. В. Степе Степановића, десна страна ул. Моравске, </w:t>
      </w:r>
      <w:r w:rsidR="00E73C7F" w:rsidRPr="00EE50FB">
        <w:rPr>
          <w:noProof/>
        </w:rPr>
        <w:t>Ђурђевданска</w:t>
      </w:r>
      <w:r w:rsidRPr="00EE50FB">
        <w:rPr>
          <w:noProof/>
        </w:rPr>
        <w:t xml:space="preserve">, </w:t>
      </w:r>
      <w:r w:rsidR="00E73C7F" w:rsidRPr="00EE50FB">
        <w:rPr>
          <w:noProof/>
        </w:rPr>
        <w:t>Шабан Бајрамовић</w:t>
      </w:r>
      <w:r w:rsidRPr="00EE50FB">
        <w:rPr>
          <w:noProof/>
        </w:rPr>
        <w:t xml:space="preserve">, Миђени, Драгачевска, </w:t>
      </w:r>
      <w:r w:rsidR="00E73C7F" w:rsidRPr="00EE50FB">
        <w:rPr>
          <w:noProof/>
        </w:rPr>
        <w:t>Саит Балић</w:t>
      </w:r>
      <w:r w:rsidRPr="00EE50FB">
        <w:rPr>
          <w:noProof/>
        </w:rPr>
        <w:t xml:space="preserve">, </w:t>
      </w:r>
      <w:r w:rsidR="00E73C7F" w:rsidRPr="00EE50FB">
        <w:rPr>
          <w:noProof/>
        </w:rPr>
        <w:t>Зулфићар Бајрамовић</w:t>
      </w:r>
      <w:r w:rsidRPr="00EE50FB">
        <w:rPr>
          <w:noProof/>
        </w:rPr>
        <w:t xml:space="preserve">, </w:t>
      </w:r>
      <w:r w:rsidR="00E73C7F" w:rsidRPr="00EE50FB">
        <w:rPr>
          <w:noProof/>
        </w:rPr>
        <w:t>Ђаковичка</w:t>
      </w:r>
      <w:r w:rsidRPr="00EE50FB">
        <w:rPr>
          <w:noProof/>
        </w:rPr>
        <w:t xml:space="preserve">, Југ Богданова, </w:t>
      </w:r>
      <w:r w:rsidR="00E73C7F" w:rsidRPr="00EE50FB">
        <w:rPr>
          <w:noProof/>
        </w:rPr>
        <w:t>Призренска</w:t>
      </w:r>
      <w:r w:rsidRPr="00EE50FB">
        <w:rPr>
          <w:noProof/>
        </w:rPr>
        <w:t>,</w:t>
      </w:r>
      <w:r w:rsidR="00FD2C5A" w:rsidRPr="00EE50FB">
        <w:rPr>
          <w:noProof/>
        </w:rPr>
        <w:t xml:space="preserve"> Морава 76, део ул. Јачима Ђошића,</w:t>
      </w:r>
      <w:r w:rsidRPr="00EE50FB">
        <w:rPr>
          <w:noProof/>
        </w:rPr>
        <w:t xml:space="preserve"> део ул. Гњилански пут, део Лопардинског пута, део ул.</w:t>
      </w:r>
      <w:r w:rsidR="00E73C7F" w:rsidRPr="00EE50FB">
        <w:rPr>
          <w:noProof/>
        </w:rPr>
        <w:t xml:space="preserve"> Иљаз Сељими</w:t>
      </w:r>
      <w:r w:rsidRPr="00EE50FB">
        <w:rPr>
          <w:noProof/>
        </w:rPr>
        <w:t>, део ул.</w:t>
      </w:r>
      <w:r w:rsidR="00E73C7F" w:rsidRPr="00EE50FB">
        <w:rPr>
          <w:noProof/>
        </w:rPr>
        <w:t xml:space="preserve"> Беким Фехмиу</w:t>
      </w:r>
      <w:r w:rsidRPr="00EE50FB">
        <w:rPr>
          <w:noProof/>
        </w:rPr>
        <w:t xml:space="preserve">, део ул. </w:t>
      </w:r>
      <w:r w:rsidR="00E73C7F" w:rsidRPr="00EE50FB">
        <w:rPr>
          <w:noProof/>
        </w:rPr>
        <w:t>Косовска</w:t>
      </w:r>
      <w:r w:rsidRPr="00EE50FB">
        <w:rPr>
          <w:noProof/>
        </w:rPr>
        <w:t xml:space="preserve">, </w:t>
      </w:r>
      <w:r w:rsidR="00E73C7F" w:rsidRPr="00EE50FB">
        <w:rPr>
          <w:noProof/>
        </w:rPr>
        <w:t>Наим Фрашери</w:t>
      </w:r>
      <w:r w:rsidRPr="00EE50FB">
        <w:rPr>
          <w:noProof/>
        </w:rPr>
        <w:t xml:space="preserve">, део ул. </w:t>
      </w:r>
      <w:r w:rsidR="00E73C7F" w:rsidRPr="00EE50FB">
        <w:rPr>
          <w:noProof/>
        </w:rPr>
        <w:t>Мајка Тереза</w:t>
      </w:r>
      <w:r w:rsidRPr="00EE50FB">
        <w:rPr>
          <w:noProof/>
        </w:rPr>
        <w:t xml:space="preserve">, лева страна ул. </w:t>
      </w:r>
      <w:r w:rsidR="00E73C7F" w:rsidRPr="00EE50FB">
        <w:rPr>
          <w:noProof/>
        </w:rPr>
        <w:t>Асдрени</w:t>
      </w:r>
      <w:r w:rsidRPr="00EE50FB">
        <w:rPr>
          <w:noProof/>
        </w:rPr>
        <w:t xml:space="preserve"> и десна страна ул. </w:t>
      </w:r>
      <w:r w:rsidR="00E73C7F" w:rsidRPr="00EE50FB">
        <w:rPr>
          <w:noProof/>
        </w:rPr>
        <w:t>Сами Фрашери</w:t>
      </w:r>
      <w:r w:rsidRPr="00EE50FB">
        <w:rPr>
          <w:noProof/>
        </w:rPr>
        <w:t>.</w:t>
      </w:r>
    </w:p>
    <w:p w:rsidR="00B65FEC" w:rsidRPr="00EE50FB" w:rsidRDefault="00B65FEC" w:rsidP="00B65FEC">
      <w:pPr>
        <w:ind w:firstLine="709"/>
        <w:jc w:val="both"/>
        <w:rPr>
          <w:noProof/>
        </w:rPr>
      </w:pPr>
      <w:r w:rsidRPr="00EE50FB">
        <w:rPr>
          <w:noProof/>
        </w:rPr>
        <w:t xml:space="preserve">Njësia hapsinore numër: 12, 13, 18, 19, 20, 21, 33 dhe 44 (e cila përfshinë rrugët: një pjesë të rr. Josif Janjiq, Stevan Singjeliq, Hajduk Velkos, pjesë të rr. Stepe Stepanoviq, ana e djathtë e rr. Morava, Shën Gjergjit, Shaban Bajramoviq, Migjeni, Dragaçevës, Sait Baliq, Zulfiqar Bajramoviq, Gjakovës, Jug Bogdanit, Prizrenit, </w:t>
      </w:r>
      <w:r w:rsidR="00FD2C5A" w:rsidRPr="00EE50FB">
        <w:rPr>
          <w:noProof/>
        </w:rPr>
        <w:t xml:space="preserve">Morava </w:t>
      </w:r>
      <w:r w:rsidR="00FD2C5A" w:rsidRPr="00EE50FB">
        <w:rPr>
          <w:noProof/>
        </w:rPr>
        <w:lastRenderedPageBreak/>
        <w:t xml:space="preserve">76, një pjesë e rr. Jaqim Gjoshiq, </w:t>
      </w:r>
      <w:r w:rsidRPr="00EE50FB">
        <w:rPr>
          <w:noProof/>
        </w:rPr>
        <w:t xml:space="preserve">një pjesë e rr. Së Gjilanit, rruga e Llopardincës, Ilaz Selimi, një pjesë e rr. Bekim Fehmiu, një pjesë e rr. së </w:t>
      </w:r>
      <w:r w:rsidR="00E73C7F" w:rsidRPr="00EE50FB">
        <w:rPr>
          <w:noProof/>
        </w:rPr>
        <w:t>Kosovës</w:t>
      </w:r>
      <w:r w:rsidRPr="00EE50FB">
        <w:rPr>
          <w:noProof/>
        </w:rPr>
        <w:t xml:space="preserve">, </w:t>
      </w:r>
      <w:r w:rsidR="00E73C7F" w:rsidRPr="00EE50FB">
        <w:rPr>
          <w:noProof/>
        </w:rPr>
        <w:t>Naim Frashëri</w:t>
      </w:r>
      <w:r w:rsidRPr="00EE50FB">
        <w:rPr>
          <w:noProof/>
        </w:rPr>
        <w:t xml:space="preserve">, një pjesë e rr. </w:t>
      </w:r>
      <w:r w:rsidR="00E73C7F" w:rsidRPr="00EE50FB">
        <w:rPr>
          <w:noProof/>
        </w:rPr>
        <w:t>Nëna Terezë</w:t>
      </w:r>
      <w:r w:rsidRPr="00EE50FB">
        <w:rPr>
          <w:noProof/>
        </w:rPr>
        <w:t xml:space="preserve">, ana e majtë e rr. </w:t>
      </w:r>
      <w:r w:rsidR="00E73C7F" w:rsidRPr="00EE50FB">
        <w:rPr>
          <w:noProof/>
        </w:rPr>
        <w:t xml:space="preserve">Asdreni </w:t>
      </w:r>
      <w:r w:rsidRPr="00EE50FB">
        <w:rPr>
          <w:noProof/>
        </w:rPr>
        <w:t xml:space="preserve"> dhe ana e djathtë e rr. </w:t>
      </w:r>
      <w:r w:rsidR="00E73C7F" w:rsidRPr="00EE50FB">
        <w:rPr>
          <w:noProof/>
        </w:rPr>
        <w:t>Sami Frashëri</w:t>
      </w:r>
      <w:r w:rsidRPr="00EE50FB">
        <w:rPr>
          <w:noProof/>
        </w:rPr>
        <w:t>.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noProof/>
        </w:rPr>
        <w:t xml:space="preserve">  </w:t>
      </w:r>
      <w:r w:rsidRPr="00EE50FB">
        <w:rPr>
          <w:b/>
          <w:noProof/>
        </w:rPr>
        <w:t>ТРЕЋА ЗОНА- ZONA E TRETË</w:t>
      </w:r>
    </w:p>
    <w:p w:rsidR="00B65FEC" w:rsidRPr="00EE50FB" w:rsidRDefault="00B65FEC" w:rsidP="00B65FEC">
      <w:pPr>
        <w:spacing w:before="240"/>
        <w:ind w:firstLine="708"/>
        <w:jc w:val="both"/>
        <w:rPr>
          <w:noProof/>
        </w:rPr>
      </w:pPr>
      <w:r w:rsidRPr="00EE50FB">
        <w:rPr>
          <w:noProof/>
        </w:rPr>
        <w:t xml:space="preserve">Просторна јединица број: 26, 27, 28, 29, 30, 31, 32, 34, 35, 36, 37, 38, 39, 40, 41, 42, 43, 45, 46, 47, 48, 49 i 50 (коју обухвата улице Биначка, део ул. Гњилански пут, део ул. Мајка Тереза, </w:t>
      </w:r>
      <w:r w:rsidR="002F17B3" w:rsidRPr="00EE50FB">
        <w:rPr>
          <w:noProof/>
        </w:rPr>
        <w:t xml:space="preserve">део.ул.Јачима Ђошића, </w:t>
      </w:r>
      <w:r w:rsidR="00E73C7F" w:rsidRPr="00EE50FB">
        <w:rPr>
          <w:noProof/>
        </w:rPr>
        <w:t>Врбанска</w:t>
      </w:r>
      <w:r w:rsidRPr="00EE50FB">
        <w:rPr>
          <w:noProof/>
        </w:rPr>
        <w:t xml:space="preserve">, десна страна ул. Асдрени, Рамиз Садику, Љам Брезница, лева страна ул. Сами Фрашери, део ул. Косовска, Никола Тесла, Бањска, Змајева, Мирослава Нојковић-Цале, 8Април. </w:t>
      </w:r>
    </w:p>
    <w:p w:rsidR="00B65FEC" w:rsidRPr="00EE50FB" w:rsidRDefault="00B65FEC" w:rsidP="00B65FEC">
      <w:pPr>
        <w:spacing w:before="240"/>
        <w:ind w:firstLine="708"/>
        <w:jc w:val="both"/>
        <w:rPr>
          <w:noProof/>
        </w:rPr>
      </w:pPr>
      <w:r w:rsidRPr="00EE50FB">
        <w:rPr>
          <w:noProof/>
        </w:rPr>
        <w:t xml:space="preserve">Износ накнаде за уређивање грађевинског земљишта у Бујановачкој Бањи  износи као зона </w:t>
      </w:r>
      <w:r w:rsidRPr="00EE50FB">
        <w:rPr>
          <w:b/>
          <w:noProof/>
        </w:rPr>
        <w:t>I I I</w:t>
      </w:r>
      <w:r w:rsidRPr="00EE50FB">
        <w:rPr>
          <w:noProof/>
        </w:rPr>
        <w:t xml:space="preserve">  у зависности од намене објекта.</w:t>
      </w:r>
    </w:p>
    <w:p w:rsidR="00B65FEC" w:rsidRPr="00EE50FB" w:rsidRDefault="00B65FEC" w:rsidP="00B65FEC">
      <w:pPr>
        <w:spacing w:before="240"/>
        <w:ind w:firstLine="708"/>
        <w:jc w:val="both"/>
        <w:rPr>
          <w:noProof/>
        </w:rPr>
      </w:pPr>
    </w:p>
    <w:p w:rsidR="00B65FEC" w:rsidRPr="00EE50FB" w:rsidRDefault="00B65FEC" w:rsidP="00B65FEC">
      <w:pPr>
        <w:ind w:firstLine="709"/>
        <w:jc w:val="both"/>
        <w:rPr>
          <w:noProof/>
        </w:rPr>
      </w:pPr>
      <w:r w:rsidRPr="00EE50FB">
        <w:rPr>
          <w:noProof/>
        </w:rPr>
        <w:t>Njësia hapsinore numër:</w:t>
      </w:r>
      <w:r w:rsidRPr="00EE50FB">
        <w:rPr>
          <w:b/>
          <w:noProof/>
        </w:rPr>
        <w:t xml:space="preserve"> </w:t>
      </w:r>
      <w:r w:rsidRPr="00EE50FB">
        <w:rPr>
          <w:noProof/>
        </w:rPr>
        <w:t xml:space="preserve">26, 27, 28, 29, 30, 31, 32, 34, 35, 36, 37, 38, 39, 40, 41, 42, 43, 44, 45, 46, 47, 48, 49 dhe 50 (e cila përfshin rrugët: Binçës, një pjesë e rr. Së Gjilanit, një pjesë e rr. </w:t>
      </w:r>
      <w:r w:rsidR="00B47CBB" w:rsidRPr="00EE50FB">
        <w:rPr>
          <w:noProof/>
        </w:rPr>
        <w:t>Nëna Terezë</w:t>
      </w:r>
      <w:r w:rsidRPr="00EE50FB">
        <w:rPr>
          <w:noProof/>
        </w:rPr>
        <w:t>,</w:t>
      </w:r>
      <w:r w:rsidR="002F17B3" w:rsidRPr="00EE50FB">
        <w:rPr>
          <w:noProof/>
        </w:rPr>
        <w:t xml:space="preserve"> një pjesë e rr.Jaqim Gjoshiq,</w:t>
      </w:r>
      <w:r w:rsidRPr="00EE50FB">
        <w:rPr>
          <w:noProof/>
        </w:rPr>
        <w:t xml:space="preserve"> Vërbanit, ana e djathtë e rr. </w:t>
      </w:r>
      <w:r w:rsidR="00BA4E4D" w:rsidRPr="00EE50FB">
        <w:rPr>
          <w:noProof/>
        </w:rPr>
        <w:t>Asdreni</w:t>
      </w:r>
      <w:r w:rsidRPr="00EE50FB">
        <w:rPr>
          <w:noProof/>
        </w:rPr>
        <w:t xml:space="preserve">, Ramiz Sadiku, </w:t>
      </w:r>
      <w:r w:rsidR="00BA4E4D" w:rsidRPr="00EE50FB">
        <w:rPr>
          <w:noProof/>
        </w:rPr>
        <w:t>Lam Breznica</w:t>
      </w:r>
      <w:r w:rsidRPr="00EE50FB">
        <w:rPr>
          <w:noProof/>
        </w:rPr>
        <w:t xml:space="preserve">, ana e majtë e rr. </w:t>
      </w:r>
      <w:r w:rsidR="00BA4E4D" w:rsidRPr="00EE50FB">
        <w:rPr>
          <w:noProof/>
        </w:rPr>
        <w:t>Sami Frashëri</w:t>
      </w:r>
      <w:r w:rsidRPr="00EE50FB">
        <w:rPr>
          <w:noProof/>
        </w:rPr>
        <w:t xml:space="preserve">, një pjesë e rr. së </w:t>
      </w:r>
      <w:r w:rsidR="00BA4E4D" w:rsidRPr="00EE50FB">
        <w:rPr>
          <w:noProof/>
        </w:rPr>
        <w:t>Kosovës</w:t>
      </w:r>
      <w:r w:rsidRPr="00EE50FB">
        <w:rPr>
          <w:noProof/>
        </w:rPr>
        <w:t xml:space="preserve">, Nikolla Teslla, e Banjës, e Zmajit, Mirosllav Nojkoviq –Cale, </w:t>
      </w:r>
      <w:r w:rsidR="00BA4E4D" w:rsidRPr="00EE50FB">
        <w:rPr>
          <w:noProof/>
        </w:rPr>
        <w:t>8Prilli</w:t>
      </w:r>
      <w:r w:rsidRPr="00EE50FB">
        <w:rPr>
          <w:noProof/>
        </w:rPr>
        <w:t>.</w:t>
      </w:r>
    </w:p>
    <w:p w:rsidR="00B65FEC" w:rsidRPr="00EE50FB" w:rsidRDefault="00B65FEC" w:rsidP="00B65FEC">
      <w:pPr>
        <w:ind w:firstLine="708"/>
        <w:jc w:val="both"/>
        <w:rPr>
          <w:noProof/>
        </w:rPr>
      </w:pPr>
      <w:r w:rsidRPr="00EE50FB">
        <w:rPr>
          <w:noProof/>
        </w:rPr>
        <w:t xml:space="preserve">Shuma e kompensimit për rregullimin e tokës ndërtimore në Banjën e Bujanocit është në vlerë si të zonës së </w:t>
      </w:r>
      <w:r w:rsidRPr="00EE50FB">
        <w:rPr>
          <w:b/>
          <w:noProof/>
        </w:rPr>
        <w:t>III</w:t>
      </w:r>
      <w:r w:rsidRPr="00EE50FB">
        <w:rPr>
          <w:noProof/>
        </w:rPr>
        <w:t>, varësisht prej destinimit të objektit.</w:t>
      </w:r>
    </w:p>
    <w:p w:rsidR="00B65FEC" w:rsidRPr="00EE50FB" w:rsidRDefault="00B65FEC" w:rsidP="00F37AA8">
      <w:pPr>
        <w:ind w:firstLine="709"/>
        <w:jc w:val="both"/>
        <w:rPr>
          <w:i/>
          <w:noProof/>
        </w:rPr>
      </w:pPr>
      <w:r w:rsidRPr="00EE50FB">
        <w:rPr>
          <w:i/>
          <w:noProof/>
        </w:rPr>
        <w:t xml:space="preserve">   </w:t>
      </w: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noProof/>
        </w:rPr>
        <w:t>ЧЕТВРТА ЗОНА- ZONA E KATËRT</w:t>
      </w:r>
    </w:p>
    <w:p w:rsidR="00B65FEC" w:rsidRPr="00EE50FB" w:rsidRDefault="00B65FEC" w:rsidP="00B65FEC">
      <w:pPr>
        <w:spacing w:before="240"/>
        <w:ind w:firstLine="708"/>
        <w:jc w:val="both"/>
        <w:rPr>
          <w:noProof/>
        </w:rPr>
      </w:pPr>
      <w:r w:rsidRPr="00EE50FB">
        <w:rPr>
          <w:noProof/>
        </w:rPr>
        <w:t>Допринос за уређивање грађевинског земљишта ван границе градског грађевинског земљишта се наплаћује и за остала насељена места општине Бујановац – Жбевац, Лопардинце, Љиљанце, Левосоје, Турија, Лучане, Жужељица, Летовица, Несалце, Осларе, Карадник, С.Кућа, Кленике, Биљача, Велики Трновац, Раковац, Самољица, Кончуљ, Божињевац</w:t>
      </w:r>
      <w:r w:rsidR="00940592" w:rsidRPr="00EE50FB">
        <w:rPr>
          <w:noProof/>
        </w:rPr>
        <w:t>, Кршевица, Клиновац,</w:t>
      </w:r>
      <w:r w:rsidR="00F82374" w:rsidRPr="00EE50FB">
        <w:rPr>
          <w:noProof/>
        </w:rPr>
        <w:t xml:space="preserve"> Св.Петка и сва друга насељена места која нису обухваћено у зони I,II и III.</w:t>
      </w:r>
    </w:p>
    <w:p w:rsidR="00B65FEC" w:rsidRPr="00EE50FB" w:rsidRDefault="00B65FEC" w:rsidP="00F37AA8">
      <w:pPr>
        <w:ind w:firstLine="708"/>
        <w:jc w:val="both"/>
        <w:rPr>
          <w:bCs/>
          <w:iCs/>
          <w:noProof/>
        </w:rPr>
      </w:pPr>
      <w:r w:rsidRPr="00EE50FB">
        <w:rPr>
          <w:bCs/>
          <w:iCs/>
          <w:noProof/>
        </w:rPr>
        <w:t>Kontributin për rregullimin e tokës ndërtimore jashtë kufirit të tokës ndërtimore urbane arkëtohet edhe për vendbanimet e tjera të Komunës së Bujanocit -  Zhbevcë, Llopardincë, Lilancë, Levosojë, Turi, Zhuzhelicë, Lluçan, Letovicë, Nesalcë, Osllarë, Karadnik, S.Kuqa, Klenikë, Bilaç, Tërnoc, Rakoc, Samolicë, Konçul, Bozh</w:t>
      </w:r>
      <w:r w:rsidR="00940592" w:rsidRPr="00EE50FB">
        <w:rPr>
          <w:bCs/>
          <w:iCs/>
          <w:noProof/>
        </w:rPr>
        <w:t>injevcë, Kërshevicë, Klinovc, Sv. Petktë dhe të gjitha vendbanimet të cilat nuk janë të përfshira në zonën I,II dhe III.</w:t>
      </w:r>
    </w:p>
    <w:p w:rsidR="00C534D6" w:rsidRPr="00EE50FB" w:rsidRDefault="00C534D6" w:rsidP="00F37AA8">
      <w:pPr>
        <w:ind w:firstLine="708"/>
        <w:jc w:val="both"/>
        <w:rPr>
          <w:bCs/>
          <w:iCs/>
          <w:noProof/>
        </w:rPr>
      </w:pPr>
    </w:p>
    <w:p w:rsidR="00B65FEC" w:rsidRPr="00EE50FB" w:rsidRDefault="00B65FEC" w:rsidP="00B65FEC">
      <w:pPr>
        <w:jc w:val="both"/>
        <w:rPr>
          <w:b/>
          <w:noProof/>
          <w:u w:val="single"/>
        </w:rPr>
      </w:pPr>
      <w:r w:rsidRPr="00EE50FB">
        <w:rPr>
          <w:b/>
          <w:noProof/>
          <w:u w:val="single"/>
        </w:rPr>
        <w:t xml:space="preserve">б) НАМЕНА ОБЈЕКАТА </w:t>
      </w:r>
    </w:p>
    <w:p w:rsidR="00B65FEC" w:rsidRPr="00EE50FB" w:rsidRDefault="00B65FEC" w:rsidP="00B65FEC">
      <w:pPr>
        <w:jc w:val="both"/>
        <w:rPr>
          <w:b/>
          <w:noProof/>
        </w:rPr>
      </w:pPr>
      <w:r w:rsidRPr="00EE50FB">
        <w:rPr>
          <w:b/>
          <w:noProof/>
        </w:rPr>
        <w:t xml:space="preserve">b) </w:t>
      </w:r>
      <w:r w:rsidRPr="00EE50FB">
        <w:rPr>
          <w:b/>
          <w:noProof/>
          <w:u w:val="single"/>
        </w:rPr>
        <w:t xml:space="preserve">DEDIKIMI I OBJEKTEVE </w:t>
      </w:r>
    </w:p>
    <w:p w:rsidR="00B65FEC" w:rsidRPr="00EE50FB" w:rsidRDefault="00B65FEC" w:rsidP="00F37AA8">
      <w:pPr>
        <w:rPr>
          <w:b/>
          <w:noProof/>
        </w:rPr>
      </w:pPr>
    </w:p>
    <w:p w:rsidR="00B65FEC" w:rsidRPr="00EE50FB" w:rsidRDefault="00B65FEC" w:rsidP="00B65FEC">
      <w:pPr>
        <w:jc w:val="center"/>
        <w:outlineLvl w:val="0"/>
        <w:rPr>
          <w:b/>
          <w:noProof/>
        </w:rPr>
      </w:pPr>
      <w:r w:rsidRPr="00EE50FB">
        <w:rPr>
          <w:b/>
          <w:noProof/>
        </w:rPr>
        <w:t>Члан-Neni 7.</w:t>
      </w:r>
    </w:p>
    <w:p w:rsidR="00B65FEC" w:rsidRPr="00EE50FB" w:rsidRDefault="00B65FEC" w:rsidP="00B65FEC">
      <w:pPr>
        <w:ind w:firstLine="720"/>
        <w:jc w:val="both"/>
        <w:rPr>
          <w:bCs/>
          <w:noProof/>
        </w:rPr>
      </w:pPr>
      <w:r w:rsidRPr="00EE50FB">
        <w:rPr>
          <w:bCs/>
          <w:noProof/>
        </w:rPr>
        <w:t>Намене објеката</w:t>
      </w:r>
      <w:r w:rsidRPr="00EE50FB">
        <w:rPr>
          <w:rStyle w:val="FootnoteReference"/>
          <w:bCs/>
          <w:noProof/>
        </w:rPr>
        <w:t xml:space="preserve"> </w:t>
      </w:r>
      <w:r w:rsidRPr="00EE50FB">
        <w:rPr>
          <w:bCs/>
          <w:noProof/>
        </w:rPr>
        <w:t xml:space="preserve"> за које се плаћа допринос су</w:t>
      </w:r>
      <w:r w:rsidRPr="00EE50FB">
        <w:rPr>
          <w:noProof/>
        </w:rPr>
        <w:t>:</w:t>
      </w:r>
      <w:r w:rsidRPr="00EE50FB">
        <w:rPr>
          <w:b/>
          <w:noProof/>
        </w:rPr>
        <w:t xml:space="preserve">      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 Dedikimet e objekteve për të cilat paguhet kontributi janë: 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 xml:space="preserve">За стамбену изградњу; </w:t>
      </w:r>
    </w:p>
    <w:p w:rsidR="00B65FEC" w:rsidRPr="00EE50FB" w:rsidRDefault="00B65FEC" w:rsidP="00B65FEC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noProof/>
        </w:rPr>
      </w:pPr>
      <w:r w:rsidRPr="00EE50FB">
        <w:rPr>
          <w:noProof/>
        </w:rPr>
        <w:lastRenderedPageBreak/>
        <w:t xml:space="preserve">Për ndërtim banesor; 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 xml:space="preserve">За изградњу послових просторија сталног карактера; 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>Për ndërtimin e hapësirave afariste me karakter të përhershëm;</w:t>
      </w:r>
    </w:p>
    <w:p w:rsidR="00B65FEC" w:rsidRPr="00EE50FB" w:rsidRDefault="00B65FEC" w:rsidP="00B65FEC">
      <w:pPr>
        <w:ind w:left="720"/>
        <w:jc w:val="both"/>
        <w:rPr>
          <w:noProof/>
        </w:rPr>
      </w:pP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 xml:space="preserve"> За помоћне објекте, гараже и сл.; 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 xml:space="preserve">Për objekte montuese, garazha dhe të ngjashme; 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 xml:space="preserve">За претварање стамбеног у послови простор-локале; 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 xml:space="preserve"> Për shëndrrimin e hapsirave banesore në hapsira afariste – lokale;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 xml:space="preserve">Инвестиционе објекте: производни простор, погони и сл.; 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 xml:space="preserve">Objektet investuese: hapsira prodhuese, reparte dhe të ngjashme; </w:t>
      </w:r>
    </w:p>
    <w:p w:rsidR="00B65FEC" w:rsidRPr="00EE50FB" w:rsidRDefault="00B65FEC" w:rsidP="00B65FEC">
      <w:pPr>
        <w:ind w:left="720"/>
        <w:jc w:val="both"/>
        <w:rPr>
          <w:noProof/>
        </w:rPr>
      </w:pPr>
    </w:p>
    <w:p w:rsidR="00B65FEC" w:rsidRPr="00EE50FB" w:rsidRDefault="00B65FEC" w:rsidP="00B65FEC">
      <w:pPr>
        <w:numPr>
          <w:ilvl w:val="0"/>
          <w:numId w:val="1"/>
        </w:numPr>
        <w:spacing w:before="240"/>
        <w:contextualSpacing/>
        <w:jc w:val="both"/>
        <w:rPr>
          <w:noProof/>
        </w:rPr>
      </w:pPr>
      <w:r w:rsidRPr="00EE50FB">
        <w:rPr>
          <w:noProof/>
        </w:rPr>
        <w:t xml:space="preserve">Затворена складишта и магацински простори са надстрешницом; </w:t>
      </w:r>
    </w:p>
    <w:p w:rsidR="00A059C5" w:rsidRPr="00EE50FB" w:rsidRDefault="00B65FEC" w:rsidP="00F37AA8">
      <w:pPr>
        <w:pStyle w:val="ListParagraph"/>
        <w:numPr>
          <w:ilvl w:val="0"/>
          <w:numId w:val="1"/>
        </w:numPr>
        <w:contextualSpacing/>
        <w:jc w:val="both"/>
        <w:rPr>
          <w:noProof/>
        </w:rPr>
      </w:pPr>
      <w:r w:rsidRPr="00EE50FB">
        <w:rPr>
          <w:noProof/>
        </w:rPr>
        <w:t>Depo të mbyllura dhe hapsira për magazinim me kulëm;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>Отворена складишта и надстрешнице за продају свих материјала;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>Depo të hapura dhe objekte ndihmëse për shitjen e të gjitha materialeve;</w:t>
      </w:r>
    </w:p>
    <w:p w:rsidR="00B65FEC" w:rsidRPr="00EE50FB" w:rsidRDefault="00B65FEC" w:rsidP="00B65FEC">
      <w:pPr>
        <w:numPr>
          <w:ilvl w:val="0"/>
          <w:numId w:val="1"/>
        </w:numPr>
        <w:spacing w:before="240"/>
        <w:jc w:val="both"/>
        <w:rPr>
          <w:noProof/>
        </w:rPr>
      </w:pPr>
      <w:r w:rsidRPr="00EE50FB">
        <w:rPr>
          <w:noProof/>
        </w:rPr>
        <w:t>За инвестиционе објекте – бензинске пумпе;</w:t>
      </w:r>
    </w:p>
    <w:p w:rsidR="00B65FEC" w:rsidRPr="00EE50FB" w:rsidRDefault="00B65FEC" w:rsidP="00B65FEC">
      <w:pPr>
        <w:numPr>
          <w:ilvl w:val="0"/>
          <w:numId w:val="1"/>
        </w:numPr>
        <w:jc w:val="both"/>
        <w:rPr>
          <w:noProof/>
        </w:rPr>
      </w:pPr>
      <w:r w:rsidRPr="00EE50FB">
        <w:rPr>
          <w:noProof/>
        </w:rPr>
        <w:t>Për objekte investuese – pompa të benzinës;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both"/>
        <w:outlineLvl w:val="0"/>
        <w:rPr>
          <w:b/>
          <w:noProof/>
          <w:u w:val="single"/>
        </w:rPr>
      </w:pPr>
      <w:r w:rsidRPr="00EE50FB">
        <w:rPr>
          <w:b/>
          <w:noProof/>
          <w:u w:val="single"/>
        </w:rPr>
        <w:t xml:space="preserve">в) КОЕФИЦИЈЕНТИ </w:t>
      </w:r>
    </w:p>
    <w:p w:rsidR="00FA2696" w:rsidRPr="00EE50FB" w:rsidRDefault="00B65FEC" w:rsidP="00B65FEC">
      <w:pPr>
        <w:jc w:val="both"/>
        <w:rPr>
          <w:b/>
          <w:noProof/>
        </w:rPr>
      </w:pPr>
      <w:r w:rsidRPr="00EE50FB">
        <w:rPr>
          <w:b/>
          <w:noProof/>
        </w:rPr>
        <w:t>v) KOEFICIENTËT</w:t>
      </w:r>
    </w:p>
    <w:p w:rsidR="00130FF9" w:rsidRPr="00EE50FB" w:rsidRDefault="00130FF9" w:rsidP="00B65FEC">
      <w:pPr>
        <w:jc w:val="both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>За обрачунавање доприноса за уређивање грађевинског земљишта одређују се следећи коефицијенти:</w:t>
      </w:r>
    </w:p>
    <w:p w:rsidR="00B65FEC" w:rsidRPr="00EE50FB" w:rsidRDefault="00B65FEC" w:rsidP="00F37AA8">
      <w:pPr>
        <w:ind w:firstLine="720"/>
        <w:jc w:val="both"/>
        <w:rPr>
          <w:noProof/>
        </w:rPr>
      </w:pPr>
      <w:r w:rsidRPr="00EE50FB">
        <w:rPr>
          <w:noProof/>
        </w:rPr>
        <w:t xml:space="preserve">Për llogaritjen e kontributeve për rregullimin e tokës ndërtimore caktohen koeficientët si vijon: </w:t>
      </w:r>
    </w:p>
    <w:p w:rsidR="006C2521" w:rsidRPr="00EE50FB" w:rsidRDefault="006C2521" w:rsidP="00B65FEC">
      <w:pPr>
        <w:jc w:val="both"/>
        <w:rPr>
          <w:noProof/>
        </w:rPr>
      </w:pPr>
    </w:p>
    <w:p w:rsidR="00B65FEC" w:rsidRPr="00EE50FB" w:rsidRDefault="00B65FEC" w:rsidP="00B65FEC">
      <w:pPr>
        <w:jc w:val="center"/>
        <w:rPr>
          <w:b/>
          <w:noProof/>
        </w:rPr>
      </w:pPr>
      <w:r w:rsidRPr="00EE50FB">
        <w:rPr>
          <w:b/>
          <w:bCs/>
          <w:noProof/>
        </w:rPr>
        <w:t>Члан -</w:t>
      </w:r>
      <w:r w:rsidRPr="00EE50FB">
        <w:rPr>
          <w:b/>
          <w:noProof/>
        </w:rPr>
        <w:t xml:space="preserve"> Neni 8.</w:t>
      </w:r>
    </w:p>
    <w:p w:rsidR="00FA2696" w:rsidRPr="00EE50FB" w:rsidRDefault="00FA2696" w:rsidP="00F37AA8">
      <w:pPr>
        <w:outlineLvl w:val="0"/>
        <w:rPr>
          <w:b/>
          <w:bCs/>
          <w:noProof/>
        </w:rPr>
      </w:pPr>
    </w:p>
    <w:p w:rsidR="00B65FEC" w:rsidRPr="00EE50FB" w:rsidRDefault="00B65FEC" w:rsidP="00B65FEC">
      <w:pPr>
        <w:autoSpaceDE w:val="0"/>
        <w:autoSpaceDN w:val="0"/>
        <w:adjustRightInd w:val="0"/>
        <w:outlineLvl w:val="0"/>
        <w:rPr>
          <w:b/>
          <w:noProof/>
        </w:rPr>
      </w:pPr>
      <w:r w:rsidRPr="00EE50FB">
        <w:rPr>
          <w:noProof/>
        </w:rPr>
        <w:t xml:space="preserve">      </w:t>
      </w:r>
      <w:r w:rsidRPr="00EE50FB">
        <w:rPr>
          <w:b/>
          <w:noProof/>
        </w:rPr>
        <w:t>Коефицијент за зону (</w:t>
      </w:r>
      <w:r w:rsidRPr="00EE50FB">
        <w:rPr>
          <w:b/>
          <w:bCs/>
          <w:noProof/>
        </w:rPr>
        <w:t>К</w:t>
      </w:r>
      <w:r w:rsidRPr="00EE50FB">
        <w:rPr>
          <w:b/>
          <w:bCs/>
          <w:noProof/>
          <w:vertAlign w:val="subscript"/>
        </w:rPr>
        <w:t>уз</w:t>
      </w:r>
      <w:r w:rsidRPr="00EE50FB">
        <w:rPr>
          <w:b/>
          <w:noProof/>
        </w:rPr>
        <w:t>):</w:t>
      </w:r>
    </w:p>
    <w:p w:rsidR="00B65FEC" w:rsidRPr="00EE50FB" w:rsidRDefault="00B65FEC" w:rsidP="00B65FEC">
      <w:pPr>
        <w:jc w:val="both"/>
        <w:rPr>
          <w:b/>
          <w:noProof/>
        </w:rPr>
      </w:pPr>
      <w:r w:rsidRPr="00EE50FB">
        <w:rPr>
          <w:b/>
          <w:noProof/>
        </w:rPr>
        <w:t xml:space="preserve">     Koeficientët për zonën (Kzu):</w:t>
      </w:r>
    </w:p>
    <w:p w:rsidR="00B65FEC" w:rsidRPr="00EE50FB" w:rsidRDefault="007E037B" w:rsidP="00B65FEC">
      <w:pPr>
        <w:jc w:val="both"/>
        <w:rPr>
          <w:noProof/>
        </w:rPr>
      </w:pPr>
      <w:r w:rsidRPr="00EE50FB">
        <w:rPr>
          <w:noProof/>
        </w:rPr>
        <w:t xml:space="preserve">                                                                   </w:t>
      </w:r>
      <w:r w:rsidR="006318AA">
        <w:rPr>
          <w:noProof/>
        </w:rPr>
        <w:t>2025</w:t>
      </w:r>
      <w:r w:rsidRPr="00EE50FB">
        <w:rPr>
          <w:noProof/>
        </w:rPr>
        <w:t>.g.</w:t>
      </w:r>
      <w:r w:rsidR="001C3E20">
        <w:rPr>
          <w:noProof/>
        </w:rPr>
        <w:t>v.</w:t>
      </w:r>
      <w:r w:rsidRPr="00EE50FB">
        <w:rPr>
          <w:noProof/>
        </w:rPr>
        <w:t xml:space="preserve">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580"/>
      </w:tblGrid>
      <w:tr w:rsidR="009B3F6B" w:rsidRPr="00EE50FB" w:rsidTr="00B65FEC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Урбанистичка зона</w:t>
            </w:r>
          </w:p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 xml:space="preserve"> Zona urbanistike</w:t>
            </w:r>
          </w:p>
        </w:tc>
        <w:tc>
          <w:tcPr>
            <w:tcW w:w="2580" w:type="dxa"/>
            <w:shd w:val="clear" w:color="auto" w:fill="auto"/>
          </w:tcPr>
          <w:p w:rsidR="009B3F6B" w:rsidRPr="00EE50FB" w:rsidRDefault="009B3F6B" w:rsidP="00ED1090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Коефицијент</w:t>
            </w:r>
          </w:p>
          <w:p w:rsidR="009B3F6B" w:rsidRPr="00EE50FB" w:rsidRDefault="009B3F6B" w:rsidP="00ED1090">
            <w:pPr>
              <w:spacing w:after="200" w:line="276" w:lineRule="auto"/>
              <w:jc w:val="center"/>
              <w:rPr>
                <w:noProof/>
              </w:rPr>
            </w:pPr>
            <w:r w:rsidRPr="00EE50FB">
              <w:rPr>
                <w:noProof/>
              </w:rPr>
              <w:t>Koeficienti</w:t>
            </w:r>
          </w:p>
        </w:tc>
      </w:tr>
      <w:tr w:rsidR="009B3F6B" w:rsidRPr="00EE50FB" w:rsidTr="00B65FEC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Прва зона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Zona e parë</w:t>
            </w:r>
          </w:p>
        </w:tc>
        <w:tc>
          <w:tcPr>
            <w:tcW w:w="2580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0,06</w:t>
            </w:r>
          </w:p>
        </w:tc>
      </w:tr>
      <w:tr w:rsidR="009B3F6B" w:rsidRPr="00EE50FB" w:rsidTr="00B65FEC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Друга зона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Zona e dytë</w:t>
            </w:r>
          </w:p>
        </w:tc>
        <w:tc>
          <w:tcPr>
            <w:tcW w:w="2580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0,05</w:t>
            </w:r>
          </w:p>
        </w:tc>
      </w:tr>
      <w:tr w:rsidR="009B3F6B" w:rsidRPr="00EE50FB" w:rsidTr="00B65FEC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Трећа зона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Zona e tretë </w:t>
            </w:r>
          </w:p>
        </w:tc>
        <w:tc>
          <w:tcPr>
            <w:tcW w:w="2580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0,04</w:t>
            </w:r>
          </w:p>
        </w:tc>
      </w:tr>
      <w:tr w:rsidR="009B3F6B" w:rsidRPr="00EE50FB" w:rsidTr="00B65FEC">
        <w:trPr>
          <w:trHeight w:val="273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Четврта зона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Zona e katërt</w:t>
            </w:r>
          </w:p>
        </w:tc>
        <w:tc>
          <w:tcPr>
            <w:tcW w:w="2580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0,01</w:t>
            </w:r>
          </w:p>
        </w:tc>
      </w:tr>
    </w:tbl>
    <w:p w:rsidR="00B65FEC" w:rsidRPr="00EE50FB" w:rsidRDefault="00B65FEC" w:rsidP="00B65FEC">
      <w:pPr>
        <w:jc w:val="both"/>
        <w:outlineLvl w:val="0"/>
        <w:rPr>
          <w:noProof/>
        </w:rPr>
      </w:pPr>
    </w:p>
    <w:p w:rsidR="00B65FEC" w:rsidRPr="00EE50FB" w:rsidRDefault="00B65FEC" w:rsidP="00C139DA">
      <w:pPr>
        <w:spacing w:after="200" w:line="276" w:lineRule="auto"/>
        <w:rPr>
          <w:b/>
          <w:noProof/>
        </w:rPr>
      </w:pPr>
      <w:r w:rsidRPr="00EE50FB">
        <w:rPr>
          <w:b/>
          <w:noProof/>
        </w:rPr>
        <w:t>Коефицијент за намену (</w:t>
      </w:r>
      <w:r w:rsidRPr="00EE50FB">
        <w:rPr>
          <w:b/>
          <w:bCs/>
          <w:noProof/>
        </w:rPr>
        <w:t>К</w:t>
      </w:r>
      <w:r w:rsidRPr="00EE50FB">
        <w:rPr>
          <w:b/>
          <w:bCs/>
          <w:noProof/>
          <w:vertAlign w:val="subscript"/>
        </w:rPr>
        <w:t>н</w:t>
      </w:r>
      <w:r w:rsidRPr="00EE50FB">
        <w:rPr>
          <w:b/>
          <w:noProof/>
        </w:rPr>
        <w:t>)</w:t>
      </w:r>
      <w:r w:rsidRPr="00EE50FB">
        <w:rPr>
          <w:rStyle w:val="FootnoteReference"/>
          <w:b/>
          <w:noProof/>
        </w:rPr>
        <w:footnoteReference w:id="2"/>
      </w:r>
      <w:r w:rsidRPr="00EE50FB">
        <w:rPr>
          <w:b/>
          <w:noProof/>
        </w:rPr>
        <w:t>:</w:t>
      </w:r>
    </w:p>
    <w:p w:rsidR="00B65FEC" w:rsidRPr="00EE50FB" w:rsidRDefault="00B65FEC" w:rsidP="00B65FEC">
      <w:pPr>
        <w:jc w:val="both"/>
        <w:rPr>
          <w:b/>
          <w:noProof/>
        </w:rPr>
      </w:pPr>
      <w:r w:rsidRPr="00EE50FB">
        <w:rPr>
          <w:noProof/>
        </w:rPr>
        <w:t xml:space="preserve"> </w:t>
      </w:r>
      <w:r w:rsidRPr="00EE50FB">
        <w:rPr>
          <w:b/>
          <w:noProof/>
        </w:rPr>
        <w:t>Koeficienti për dedikim ( Kd)</w:t>
      </w:r>
    </w:p>
    <w:p w:rsidR="00B65FEC" w:rsidRPr="00EE50FB" w:rsidRDefault="007E037B" w:rsidP="00B65FEC">
      <w:pPr>
        <w:jc w:val="both"/>
        <w:rPr>
          <w:noProof/>
        </w:rPr>
      </w:pPr>
      <w:r w:rsidRPr="00EE50FB">
        <w:rPr>
          <w:noProof/>
        </w:rPr>
        <w:t xml:space="preserve">                                                                  </w:t>
      </w:r>
      <w:r w:rsidR="006C3B6A">
        <w:rPr>
          <w:noProof/>
        </w:rPr>
        <w:t>2025</w:t>
      </w:r>
      <w:r w:rsidRPr="00EE50FB">
        <w:rPr>
          <w:noProof/>
        </w:rPr>
        <w:t>.g.</w:t>
      </w:r>
      <w:r w:rsidR="006C3B6A">
        <w:rPr>
          <w:noProof/>
        </w:rPr>
        <w:t>v.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595"/>
      </w:tblGrid>
      <w:tr w:rsidR="009B3F6B" w:rsidRPr="00EE50FB" w:rsidTr="00126E36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Намена објекта</w:t>
            </w:r>
          </w:p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Dedikimi i objektit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65718D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Коефицијент</w:t>
            </w:r>
          </w:p>
          <w:p w:rsidR="009B3F6B" w:rsidRPr="00EE50FB" w:rsidRDefault="009B3F6B" w:rsidP="0065718D">
            <w:pPr>
              <w:spacing w:after="200" w:line="276" w:lineRule="auto"/>
              <w:jc w:val="center"/>
              <w:rPr>
                <w:noProof/>
              </w:rPr>
            </w:pPr>
            <w:r w:rsidRPr="00EE50FB">
              <w:rPr>
                <w:noProof/>
              </w:rPr>
              <w:t>Koeficienti</w:t>
            </w:r>
          </w:p>
        </w:tc>
      </w:tr>
      <w:tr w:rsidR="009B3F6B" w:rsidRPr="00EE50FB" w:rsidTr="00126E36">
        <w:trPr>
          <w:trHeight w:val="312"/>
        </w:trPr>
        <w:tc>
          <w:tcPr>
            <w:tcW w:w="2888" w:type="dxa"/>
            <w:vMerge w:val="restart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 За стамбену изградњу 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 Për ndërtim banesor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До 400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- 0,</w:t>
            </w:r>
            <w:r w:rsidR="00E32B63">
              <w:rPr>
                <w:noProof/>
              </w:rPr>
              <w:t>3</w:t>
            </w:r>
          </w:p>
          <w:p w:rsidR="009B3F6B" w:rsidRPr="00EE50FB" w:rsidRDefault="009B3F6B" w:rsidP="00F1245A">
            <w:pPr>
              <w:rPr>
                <w:noProof/>
              </w:rPr>
            </w:pPr>
            <w:r w:rsidRPr="00EE50FB">
              <w:rPr>
                <w:noProof/>
              </w:rPr>
              <w:t xml:space="preserve">    Deri 400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0,</w:t>
            </w:r>
            <w:r w:rsidR="00E32B63">
              <w:rPr>
                <w:noProof/>
              </w:rPr>
              <w:t>3</w:t>
            </w:r>
          </w:p>
        </w:tc>
      </w:tr>
      <w:tr w:rsidR="009B3F6B" w:rsidRPr="00EE50FB" w:rsidTr="00126E36">
        <w:trPr>
          <w:trHeight w:val="270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400-1000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E91C38">
              <w:rPr>
                <w:noProof/>
              </w:rPr>
              <w:t>5</w:t>
            </w:r>
          </w:p>
          <w:p w:rsidR="009B3F6B" w:rsidRPr="00EE50FB" w:rsidRDefault="009B3F6B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Prej 400-1000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E91C38">
              <w:rPr>
                <w:noProof/>
              </w:rPr>
              <w:t>5</w:t>
            </w:r>
          </w:p>
        </w:tc>
      </w:tr>
      <w:tr w:rsidR="009B3F6B" w:rsidRPr="00EE50FB" w:rsidTr="00126E36">
        <w:trPr>
          <w:trHeight w:val="270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1000-</w:t>
            </w:r>
            <w:r w:rsidR="00AE59F8" w:rsidRPr="00EE50FB">
              <w:rPr>
                <w:noProof/>
              </w:rPr>
              <w:t>1500</w:t>
            </w:r>
            <w:r w:rsidRPr="00EE50FB">
              <w:rPr>
                <w:noProof/>
              </w:rPr>
              <w:t xml:space="preserve">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E91C38">
              <w:rPr>
                <w:noProof/>
              </w:rPr>
              <w:t>6</w:t>
            </w:r>
          </w:p>
          <w:p w:rsidR="009B3F6B" w:rsidRPr="00EE50FB" w:rsidRDefault="009B3F6B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Prej 1000-</w:t>
            </w:r>
            <w:r w:rsidR="00AE59F8" w:rsidRPr="00EE50FB">
              <w:rPr>
                <w:noProof/>
              </w:rPr>
              <w:t>1500</w:t>
            </w:r>
            <w:r w:rsidRPr="00EE50FB">
              <w:rPr>
                <w:noProof/>
              </w:rPr>
              <w:t xml:space="preserve">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E91C38">
              <w:rPr>
                <w:noProof/>
              </w:rPr>
              <w:t>6</w:t>
            </w:r>
          </w:p>
        </w:tc>
      </w:tr>
      <w:tr w:rsidR="00AE59F8" w:rsidRPr="00EE50FB" w:rsidTr="00126E36">
        <w:trPr>
          <w:trHeight w:val="270"/>
        </w:trPr>
        <w:tc>
          <w:tcPr>
            <w:tcW w:w="2888" w:type="dxa"/>
            <w:vMerge/>
          </w:tcPr>
          <w:p w:rsidR="00AE59F8" w:rsidRPr="00EE50FB" w:rsidRDefault="00AE59F8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AE59F8" w:rsidRPr="00EE50FB" w:rsidRDefault="00AE59F8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1500-2000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E91C38">
              <w:rPr>
                <w:noProof/>
              </w:rPr>
              <w:t>75</w:t>
            </w:r>
          </w:p>
          <w:p w:rsidR="00AE59F8" w:rsidRPr="00EE50FB" w:rsidRDefault="00AE59F8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Prej 1500-2000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E91C38">
              <w:rPr>
                <w:noProof/>
              </w:rPr>
              <w:t>75</w:t>
            </w:r>
          </w:p>
        </w:tc>
      </w:tr>
      <w:tr w:rsidR="009B3F6B" w:rsidRPr="00EE50FB" w:rsidTr="00126E36">
        <w:trPr>
          <w:trHeight w:val="195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Преко 2000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</w:t>
            </w:r>
            <w:r w:rsidR="00E91C38">
              <w:rPr>
                <w:noProof/>
              </w:rPr>
              <w:t>0,8</w:t>
            </w:r>
            <w:r w:rsidR="00AE59F8" w:rsidRPr="00EE50FB">
              <w:rPr>
                <w:noProof/>
              </w:rPr>
              <w:t xml:space="preserve"> </w:t>
            </w:r>
          </w:p>
          <w:p w:rsidR="009B3F6B" w:rsidRPr="00EE50FB" w:rsidRDefault="009B3F6B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Mbi 2000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</w:t>
            </w:r>
            <w:r w:rsidR="00B8691A">
              <w:rPr>
                <w:noProof/>
              </w:rPr>
              <w:t>0</w:t>
            </w:r>
            <w:r w:rsidR="005C5813" w:rsidRPr="00EE50FB">
              <w:rPr>
                <w:noProof/>
              </w:rPr>
              <w:t>,</w:t>
            </w:r>
            <w:r w:rsidR="00E91C38">
              <w:rPr>
                <w:noProof/>
              </w:rPr>
              <w:t>8</w:t>
            </w:r>
            <w:r w:rsidRPr="00EE50FB">
              <w:rPr>
                <w:noProof/>
              </w:rPr>
              <w:t xml:space="preserve"> </w:t>
            </w:r>
          </w:p>
        </w:tc>
      </w:tr>
      <w:tr w:rsidR="009B3F6B" w:rsidRPr="00EE50FB" w:rsidTr="00126E36">
        <w:trPr>
          <w:trHeight w:val="312"/>
        </w:trPr>
        <w:tc>
          <w:tcPr>
            <w:tcW w:w="2888" w:type="dxa"/>
            <w:vMerge w:val="restart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За изградњу послових просторија сталног карактера 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Për ndërtimin e hapësirave afariste me karakter të përhershëm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До 400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- 0,</w:t>
            </w:r>
            <w:r w:rsidR="005C5813" w:rsidRPr="00EE50FB">
              <w:rPr>
                <w:noProof/>
              </w:rPr>
              <w:t>4</w:t>
            </w:r>
            <w:r w:rsidR="00C901FD">
              <w:rPr>
                <w:noProof/>
              </w:rPr>
              <w:t>5</w:t>
            </w:r>
          </w:p>
          <w:p w:rsidR="009B3F6B" w:rsidRPr="00EE50FB" w:rsidRDefault="009B3F6B" w:rsidP="00C901FD">
            <w:pPr>
              <w:rPr>
                <w:noProof/>
              </w:rPr>
            </w:pPr>
            <w:r w:rsidRPr="00EE50FB">
              <w:rPr>
                <w:noProof/>
              </w:rPr>
              <w:t xml:space="preserve">    Deri 400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0,4</w:t>
            </w:r>
            <w:r w:rsidR="00C901FD">
              <w:rPr>
                <w:noProof/>
              </w:rPr>
              <w:t>5</w:t>
            </w:r>
          </w:p>
        </w:tc>
      </w:tr>
      <w:tr w:rsidR="009B3F6B" w:rsidRPr="00EE50FB" w:rsidTr="00126E36">
        <w:trPr>
          <w:trHeight w:val="270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400-1000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7D6380">
              <w:rPr>
                <w:noProof/>
              </w:rPr>
              <w:t>6</w:t>
            </w:r>
          </w:p>
          <w:p w:rsidR="009B3F6B" w:rsidRPr="00EE50FB" w:rsidRDefault="009B3F6B" w:rsidP="007D6380">
            <w:pPr>
              <w:rPr>
                <w:noProof/>
              </w:rPr>
            </w:pPr>
            <w:r w:rsidRPr="00EE50FB">
              <w:rPr>
                <w:noProof/>
              </w:rPr>
              <w:t xml:space="preserve">   Prej 400-1000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7D6380">
              <w:rPr>
                <w:noProof/>
              </w:rPr>
              <w:t>6</w:t>
            </w:r>
          </w:p>
        </w:tc>
      </w:tr>
      <w:tr w:rsidR="009B3F6B" w:rsidRPr="00EE50FB" w:rsidTr="00126E36">
        <w:trPr>
          <w:trHeight w:val="270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1000-</w:t>
            </w:r>
            <w:r w:rsidR="00AE59F8" w:rsidRPr="00EE50FB">
              <w:rPr>
                <w:noProof/>
              </w:rPr>
              <w:t>150</w:t>
            </w:r>
            <w:r w:rsidRPr="00EE50FB">
              <w:rPr>
                <w:noProof/>
              </w:rPr>
              <w:t>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7D6380">
              <w:rPr>
                <w:noProof/>
              </w:rPr>
              <w:t>7</w:t>
            </w:r>
          </w:p>
          <w:p w:rsidR="009B3F6B" w:rsidRPr="00EE50FB" w:rsidRDefault="009B3F6B" w:rsidP="007D6380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Prej 1000-</w:t>
            </w:r>
            <w:r w:rsidR="00AE59F8" w:rsidRPr="00EE50FB">
              <w:rPr>
                <w:noProof/>
              </w:rPr>
              <w:t>15</w:t>
            </w:r>
            <w:r w:rsidRPr="00EE50FB">
              <w:rPr>
                <w:noProof/>
              </w:rPr>
              <w:t>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7D6380">
              <w:rPr>
                <w:noProof/>
              </w:rPr>
              <w:t>7</w:t>
            </w:r>
          </w:p>
        </w:tc>
      </w:tr>
      <w:tr w:rsidR="00AE59F8" w:rsidRPr="00EE50FB" w:rsidTr="00126E36">
        <w:trPr>
          <w:trHeight w:val="270"/>
        </w:trPr>
        <w:tc>
          <w:tcPr>
            <w:tcW w:w="2888" w:type="dxa"/>
            <w:vMerge/>
          </w:tcPr>
          <w:p w:rsidR="00AE59F8" w:rsidRPr="00EE50FB" w:rsidRDefault="00AE59F8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AE59F8" w:rsidRPr="00EE50FB" w:rsidRDefault="00AE59F8" w:rsidP="00E32B6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Од 1500-2000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- 0,</w:t>
            </w:r>
            <w:r w:rsidR="007D6380">
              <w:rPr>
                <w:noProof/>
              </w:rPr>
              <w:t>8</w:t>
            </w:r>
          </w:p>
          <w:p w:rsidR="00AE59F8" w:rsidRPr="00EE50FB" w:rsidRDefault="00AE59F8" w:rsidP="007D6380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Prej 1500-2000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>-0,</w:t>
            </w:r>
            <w:r w:rsidR="007D6380">
              <w:rPr>
                <w:noProof/>
              </w:rPr>
              <w:t>8</w:t>
            </w:r>
          </w:p>
        </w:tc>
      </w:tr>
      <w:tr w:rsidR="009B3F6B" w:rsidRPr="00EE50FB" w:rsidTr="00126E36">
        <w:trPr>
          <w:trHeight w:val="195"/>
        </w:trPr>
        <w:tc>
          <w:tcPr>
            <w:tcW w:w="2888" w:type="dxa"/>
            <w:vMerge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Преко 2000 м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</w:t>
            </w:r>
            <w:r w:rsidR="007D6380">
              <w:rPr>
                <w:noProof/>
              </w:rPr>
              <w:t>1</w:t>
            </w:r>
            <w:r w:rsidR="005C5813" w:rsidRPr="00EE50FB">
              <w:rPr>
                <w:noProof/>
              </w:rPr>
              <w:t>,</w:t>
            </w:r>
            <w:r w:rsidR="00E91C38">
              <w:rPr>
                <w:noProof/>
              </w:rPr>
              <w:t>0</w:t>
            </w:r>
          </w:p>
          <w:p w:rsidR="009B3F6B" w:rsidRPr="00EE50FB" w:rsidRDefault="009B3F6B" w:rsidP="00C901FD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Mbi 2000 m</w:t>
            </w:r>
            <w:r w:rsidRPr="00EE50FB">
              <w:rPr>
                <w:noProof/>
                <w:vertAlign w:val="superscript"/>
              </w:rPr>
              <w:t>2</w:t>
            </w:r>
            <w:r w:rsidRPr="00EE50FB">
              <w:rPr>
                <w:noProof/>
              </w:rPr>
              <w:t xml:space="preserve"> – </w:t>
            </w:r>
            <w:r w:rsidR="007D6380">
              <w:rPr>
                <w:noProof/>
              </w:rPr>
              <w:t>1</w:t>
            </w:r>
            <w:r w:rsidR="005C5813" w:rsidRPr="00EE50FB">
              <w:rPr>
                <w:noProof/>
              </w:rPr>
              <w:t>,</w:t>
            </w:r>
            <w:r w:rsidR="00E91C38">
              <w:rPr>
                <w:noProof/>
              </w:rPr>
              <w:t>0</w:t>
            </w:r>
            <w:r w:rsidRPr="00EE50FB">
              <w:rPr>
                <w:noProof/>
              </w:rPr>
              <w:t xml:space="preserve"> </w:t>
            </w:r>
          </w:p>
        </w:tc>
      </w:tr>
      <w:tr w:rsidR="009B3F6B" w:rsidRPr="00EE50FB" w:rsidTr="00126E36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За помоћне објекте, гараже и сл. 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Për objekte montuese, garazha dhe të ngjashme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E91C38">
            <w:pPr>
              <w:rPr>
                <w:noProof/>
              </w:rPr>
            </w:pPr>
            <w:r w:rsidRPr="00EE50FB">
              <w:rPr>
                <w:noProof/>
              </w:rPr>
              <w:t xml:space="preserve">                 0,</w:t>
            </w:r>
            <w:r w:rsidR="00E91C38">
              <w:rPr>
                <w:noProof/>
              </w:rPr>
              <w:t>18</w:t>
            </w:r>
          </w:p>
        </w:tc>
      </w:tr>
      <w:tr w:rsidR="009B3F6B" w:rsidRPr="00EE50FB" w:rsidTr="00126E36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>За претварање стамбеног у послови простор-локале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 Për shëndrrimin e hapsirave banesore në hapsira afariste – lokale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E91C38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0,1</w:t>
            </w:r>
            <w:r w:rsidR="00E91C38">
              <w:rPr>
                <w:noProof/>
              </w:rPr>
              <w:t>6</w:t>
            </w:r>
          </w:p>
        </w:tc>
      </w:tr>
    </w:tbl>
    <w:p w:rsidR="00873275" w:rsidRPr="00EE50FB" w:rsidRDefault="00873275">
      <w:pPr>
        <w:rPr>
          <w:noProof/>
        </w:rPr>
      </w:pPr>
      <w:r w:rsidRPr="00EE50FB">
        <w:rPr>
          <w:noProof/>
        </w:rP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595"/>
      </w:tblGrid>
      <w:tr w:rsidR="009B3F6B" w:rsidRPr="00EE50FB" w:rsidTr="00126E36">
        <w:trPr>
          <w:trHeight w:val="273"/>
        </w:trPr>
        <w:tc>
          <w:tcPr>
            <w:tcW w:w="2888" w:type="dxa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lastRenderedPageBreak/>
              <w:t xml:space="preserve">Инвестиционе објекте: производни простор, погони и сл. 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Objektet investuese: hapsira prodhuese, reparte dhe të ngjashme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DF3107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0,</w:t>
            </w:r>
            <w:r w:rsidR="00DF3107">
              <w:rPr>
                <w:noProof/>
              </w:rPr>
              <w:t>50</w:t>
            </w:r>
          </w:p>
        </w:tc>
      </w:tr>
      <w:tr w:rsidR="009B3F6B" w:rsidRPr="00EE50FB" w:rsidTr="00130FF9">
        <w:trPr>
          <w:trHeight w:val="1592"/>
        </w:trPr>
        <w:tc>
          <w:tcPr>
            <w:tcW w:w="2888" w:type="dxa"/>
          </w:tcPr>
          <w:p w:rsidR="009B3F6B" w:rsidRPr="00EE50FB" w:rsidRDefault="009B3F6B" w:rsidP="005F3A12">
            <w:pPr>
              <w:spacing w:before="240" w:after="200"/>
              <w:contextualSpacing/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Затворена складишта и магацински простори са надстрешницом </w:t>
            </w:r>
          </w:p>
          <w:p w:rsidR="009B3F6B" w:rsidRPr="00EE50FB" w:rsidRDefault="009B3F6B" w:rsidP="006C1F54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>Depo të mbyllura dhe hapsira për magazinim me kulëm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0.</w:t>
            </w:r>
            <w:r w:rsidR="00DF3107">
              <w:rPr>
                <w:noProof/>
              </w:rPr>
              <w:t>30</w:t>
            </w: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</w:tc>
      </w:tr>
      <w:tr w:rsidR="009B3F6B" w:rsidRPr="00EE50FB" w:rsidTr="00126E36">
        <w:trPr>
          <w:trHeight w:val="273"/>
        </w:trPr>
        <w:tc>
          <w:tcPr>
            <w:tcW w:w="2888" w:type="dxa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>Отворена складишта и надстрешнице за продају свих материјала</w:t>
            </w:r>
          </w:p>
          <w:p w:rsidR="009B3F6B" w:rsidRPr="00EE50FB" w:rsidRDefault="009B3F6B" w:rsidP="005F3A12">
            <w:pPr>
              <w:spacing w:before="240" w:after="200"/>
              <w:contextualSpacing/>
              <w:jc w:val="both"/>
              <w:rPr>
                <w:noProof/>
              </w:rPr>
            </w:pPr>
            <w:r w:rsidRPr="00EE50FB">
              <w:rPr>
                <w:noProof/>
              </w:rPr>
              <w:t>Depo të hapura dhe objekte ndihmëse për shitjen e të gjitha materialeve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DF3107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0.</w:t>
            </w:r>
            <w:r w:rsidR="00DF3107">
              <w:rPr>
                <w:noProof/>
              </w:rPr>
              <w:t>2</w:t>
            </w:r>
            <w:r w:rsidR="00E91C38">
              <w:rPr>
                <w:noProof/>
              </w:rPr>
              <w:t>0</w:t>
            </w:r>
          </w:p>
        </w:tc>
      </w:tr>
      <w:tr w:rsidR="009B3F6B" w:rsidRPr="00EE50FB" w:rsidTr="00126E36">
        <w:trPr>
          <w:trHeight w:val="273"/>
        </w:trPr>
        <w:tc>
          <w:tcPr>
            <w:tcW w:w="2888" w:type="dxa"/>
          </w:tcPr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>За инвестиционе објекте – бензинске пумпе</w:t>
            </w:r>
          </w:p>
          <w:p w:rsidR="009B3F6B" w:rsidRPr="00EE50FB" w:rsidRDefault="009B3F6B" w:rsidP="005F3A12">
            <w:pPr>
              <w:spacing w:before="240"/>
              <w:jc w:val="both"/>
              <w:rPr>
                <w:noProof/>
              </w:rPr>
            </w:pPr>
            <w:r w:rsidRPr="00EE50FB">
              <w:rPr>
                <w:noProof/>
              </w:rPr>
              <w:t>Për objekte investuese – pompa të benzinës</w:t>
            </w:r>
          </w:p>
        </w:tc>
        <w:tc>
          <w:tcPr>
            <w:tcW w:w="259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E50FB" w:rsidRDefault="009B3F6B" w:rsidP="00BD3E14">
            <w:pPr>
              <w:jc w:val="center"/>
              <w:rPr>
                <w:noProof/>
              </w:rPr>
            </w:pPr>
          </w:p>
          <w:p w:rsidR="009B3F6B" w:rsidRPr="00E75023" w:rsidRDefault="009B3F6B" w:rsidP="00DF3107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1.</w:t>
            </w:r>
            <w:r w:rsidR="00E91C38">
              <w:rPr>
                <w:noProof/>
              </w:rPr>
              <w:t>4</w:t>
            </w:r>
            <w:r w:rsidR="00DF3107">
              <w:rPr>
                <w:noProof/>
              </w:rPr>
              <w:t>0</w:t>
            </w:r>
          </w:p>
        </w:tc>
      </w:tr>
    </w:tbl>
    <w:p w:rsidR="00B65FEC" w:rsidRPr="00EE50FB" w:rsidRDefault="00B65FEC" w:rsidP="00B65FEC">
      <w:pPr>
        <w:jc w:val="both"/>
        <w:rPr>
          <w:noProof/>
        </w:rPr>
      </w:pPr>
    </w:p>
    <w:p w:rsidR="006C2521" w:rsidRPr="00EE50FB" w:rsidRDefault="006C2521" w:rsidP="00B65FEC">
      <w:pPr>
        <w:jc w:val="both"/>
        <w:rPr>
          <w:noProof/>
        </w:rPr>
      </w:pPr>
    </w:p>
    <w:p w:rsidR="00B65FEC" w:rsidRPr="00EE50FB" w:rsidRDefault="00B65FEC" w:rsidP="00B65FEC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E50FB">
        <w:rPr>
          <w:noProof/>
        </w:rPr>
        <w:t>Коефицијенти комуналне опремљености (</w:t>
      </w:r>
      <w:r w:rsidRPr="00EE50FB">
        <w:rPr>
          <w:bCs/>
          <w:noProof/>
        </w:rPr>
        <w:t>К</w:t>
      </w:r>
      <w:r w:rsidRPr="00EE50FB">
        <w:rPr>
          <w:bCs/>
          <w:noProof/>
          <w:vertAlign w:val="subscript"/>
        </w:rPr>
        <w:t>ко</w:t>
      </w:r>
      <w:r w:rsidRPr="00EE50FB">
        <w:rPr>
          <w:noProof/>
        </w:rPr>
        <w:t>):</w:t>
      </w:r>
      <w:r w:rsidRPr="00EE50FB">
        <w:rPr>
          <w:b/>
          <w:noProof/>
        </w:rPr>
        <w:t xml:space="preserve"> </w:t>
      </w:r>
      <w:r w:rsidRPr="00EE50FB">
        <w:rPr>
          <w:noProof/>
        </w:rPr>
        <w:t>У случају опремљености грађевинског земљишта приступним путем, канализационом и водоводном мрежом,  и јавном расветом, коефицијент комуналне опремљености је 1.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Koeficientët e përgaditjes komunale (Kpk): me rastin e përgaditjes së tokës ndërtimore me rrugën hyrëse, rrjetin e kanalizimit dhe ujësjellsit, dhe ndriçimin publik, koeficienti i përgaditjes komunale është 1. </w:t>
      </w:r>
    </w:p>
    <w:p w:rsidR="00B65FEC" w:rsidRPr="00EE50FB" w:rsidRDefault="00B65FEC" w:rsidP="00FC31CD">
      <w:pPr>
        <w:pStyle w:val="4clan"/>
        <w:spacing w:before="0" w:after="0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FC31CD" w:rsidRDefault="00B65FEC" w:rsidP="00FC31CD">
      <w:pPr>
        <w:spacing w:after="200" w:line="276" w:lineRule="auto"/>
        <w:jc w:val="center"/>
        <w:rPr>
          <w:b/>
          <w:noProof/>
        </w:rPr>
      </w:pPr>
      <w:r w:rsidRPr="00EE50FB">
        <w:rPr>
          <w:b/>
          <w:noProof/>
        </w:rPr>
        <w:t>Члан -Neni 9.</w:t>
      </w:r>
    </w:p>
    <w:p w:rsidR="00B65FEC" w:rsidRPr="00EE50FB" w:rsidRDefault="00B65FEC" w:rsidP="00B65FEC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E50FB">
        <w:rPr>
          <w:noProof/>
        </w:rPr>
        <w:t>Уколико је земљиште непотпуно опремљено комуналном инфраструктуром, допринос обрачунат у складу са чланом 4. ове Одлуке (Ц</w:t>
      </w:r>
      <w:r w:rsidRPr="00EE50FB">
        <w:rPr>
          <w:noProof/>
          <w:vertAlign w:val="subscript"/>
        </w:rPr>
        <w:t>укупна</w:t>
      </w:r>
      <w:r w:rsidRPr="00EE50FB">
        <w:rPr>
          <w:noProof/>
        </w:rPr>
        <w:t>) умањује се за одређени проценат, у складу са следећом табелом: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6C2521" w:rsidRPr="00EE50FB" w:rsidRDefault="00B65FEC" w:rsidP="00793267">
      <w:pPr>
        <w:ind w:firstLine="720"/>
        <w:jc w:val="both"/>
        <w:rPr>
          <w:noProof/>
        </w:rPr>
      </w:pPr>
      <w:r w:rsidRPr="00EE50FB">
        <w:rPr>
          <w:noProof/>
        </w:rPr>
        <w:t xml:space="preserve">Nëse toka është  e papërgaditur me infrastrukturë komunale, kontributi i llogaritur në pajtim me nenin 4. të këtij Vendimi (Çtërsishëm) zvogëlohet me përqindjen  e caktuar në pajtim me tabelën si vijon: </w:t>
      </w:r>
    </w:p>
    <w:p w:rsidR="006C2521" w:rsidRPr="00EE50FB" w:rsidRDefault="006C2521" w:rsidP="00B65FEC">
      <w:pPr>
        <w:jc w:val="both"/>
        <w:rPr>
          <w:noProof/>
        </w:rPr>
      </w:pPr>
    </w:p>
    <w:p w:rsidR="0037467D" w:rsidRPr="00EE50FB" w:rsidRDefault="0037467D" w:rsidP="00B65FEC">
      <w:pPr>
        <w:jc w:val="both"/>
        <w:rPr>
          <w:noProof/>
        </w:rPr>
      </w:pPr>
      <w:r w:rsidRPr="00EE50FB">
        <w:rPr>
          <w:noProof/>
        </w:rPr>
        <w:lastRenderedPageBreak/>
        <w:t xml:space="preserve">                                                                      20</w:t>
      </w:r>
      <w:r w:rsidR="00315000" w:rsidRPr="00EE50FB">
        <w:rPr>
          <w:noProof/>
        </w:rPr>
        <w:t>2</w:t>
      </w:r>
      <w:r w:rsidR="00E35A95">
        <w:rPr>
          <w:noProof/>
        </w:rPr>
        <w:t>5</w:t>
      </w:r>
      <w:r w:rsidRPr="00EE50FB">
        <w:rPr>
          <w:noProof/>
        </w:rPr>
        <w:t>.g.</w:t>
      </w:r>
      <w:r w:rsidR="00E35A95">
        <w:rPr>
          <w:noProof/>
        </w:rPr>
        <w:t>v.</w:t>
      </w:r>
      <w:r w:rsidRPr="00EE50FB">
        <w:rPr>
          <w:noProof/>
        </w:rPr>
        <w:t xml:space="preserve">  </w:t>
      </w:r>
    </w:p>
    <w:tbl>
      <w:tblPr>
        <w:tblW w:w="55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685"/>
      </w:tblGrid>
      <w:tr w:rsidR="009B3F6B" w:rsidRPr="00EE50FB" w:rsidTr="009B3F6B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Недостајућа комунална инфраструктура</w:t>
            </w:r>
          </w:p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 xml:space="preserve">Mungesa e infrastrukturës komunale </w:t>
            </w:r>
          </w:p>
        </w:tc>
        <w:tc>
          <w:tcPr>
            <w:tcW w:w="2685" w:type="dxa"/>
            <w:shd w:val="clear" w:color="auto" w:fill="auto"/>
          </w:tcPr>
          <w:p w:rsidR="009B3F6B" w:rsidRPr="00EE50FB" w:rsidRDefault="009B3F6B" w:rsidP="006C5FF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Проценат умањења</w:t>
            </w:r>
          </w:p>
          <w:p w:rsidR="009B3F6B" w:rsidRPr="00EE50FB" w:rsidRDefault="009B3F6B" w:rsidP="006C5FF3">
            <w:pPr>
              <w:spacing w:after="200" w:line="276" w:lineRule="auto"/>
              <w:rPr>
                <w:noProof/>
              </w:rPr>
            </w:pPr>
            <w:r w:rsidRPr="00EE50FB">
              <w:rPr>
                <w:noProof/>
              </w:rPr>
              <w:t xml:space="preserve">   Përqindja e zvogëluar</w:t>
            </w:r>
          </w:p>
        </w:tc>
      </w:tr>
      <w:tr w:rsidR="009B3F6B" w:rsidRPr="00EE50FB" w:rsidTr="009B3F6B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приступни пут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Rruga hyrëse </w:t>
            </w:r>
          </w:p>
        </w:tc>
        <w:tc>
          <w:tcPr>
            <w:tcW w:w="268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40%</w:t>
            </w:r>
          </w:p>
        </w:tc>
      </w:tr>
      <w:tr w:rsidR="009B3F6B" w:rsidRPr="00EE50FB" w:rsidTr="009B3F6B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канализациона мрежа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Rrjeti i kanalizimit</w:t>
            </w:r>
          </w:p>
        </w:tc>
        <w:tc>
          <w:tcPr>
            <w:tcW w:w="268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25%</w:t>
            </w:r>
          </w:p>
        </w:tc>
      </w:tr>
      <w:tr w:rsidR="009B3F6B" w:rsidRPr="00EE50FB" w:rsidTr="009B3F6B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водоводна мрежа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Rrjeti i ujësjellsit</w:t>
            </w:r>
          </w:p>
        </w:tc>
        <w:tc>
          <w:tcPr>
            <w:tcW w:w="268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20%</w:t>
            </w:r>
          </w:p>
        </w:tc>
      </w:tr>
      <w:tr w:rsidR="009B3F6B" w:rsidRPr="00EE50FB" w:rsidTr="009B3F6B">
        <w:trPr>
          <w:trHeight w:val="258"/>
        </w:trPr>
        <w:tc>
          <w:tcPr>
            <w:tcW w:w="2888" w:type="dxa"/>
          </w:tcPr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јавна расвета</w:t>
            </w:r>
          </w:p>
          <w:p w:rsidR="009B3F6B" w:rsidRPr="00EE50FB" w:rsidRDefault="009B3F6B" w:rsidP="005F3A12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Ndriçimi publik</w:t>
            </w:r>
          </w:p>
        </w:tc>
        <w:tc>
          <w:tcPr>
            <w:tcW w:w="2685" w:type="dxa"/>
            <w:shd w:val="clear" w:color="auto" w:fill="auto"/>
          </w:tcPr>
          <w:p w:rsidR="009B3F6B" w:rsidRPr="00EE50FB" w:rsidRDefault="009B3F6B" w:rsidP="00BD3E14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15%</w:t>
            </w:r>
          </w:p>
        </w:tc>
      </w:tr>
    </w:tbl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pStyle w:val="1tekst"/>
        <w:ind w:left="0" w:right="0" w:firstLine="0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65FEC" w:rsidRPr="00EE50FB" w:rsidRDefault="00B65FEC" w:rsidP="00793267">
      <w:pPr>
        <w:jc w:val="center"/>
        <w:rPr>
          <w:b/>
          <w:noProof/>
        </w:rPr>
      </w:pPr>
      <w:r w:rsidRPr="00EE50FB">
        <w:rPr>
          <w:b/>
          <w:bCs/>
          <w:noProof/>
        </w:rPr>
        <w:t>Члан-</w:t>
      </w:r>
      <w:r w:rsidRPr="00EE50FB">
        <w:rPr>
          <w:b/>
          <w:noProof/>
        </w:rPr>
        <w:t xml:space="preserve"> Neni 10.</w:t>
      </w:r>
    </w:p>
    <w:p w:rsidR="00793267" w:rsidRPr="00EE50FB" w:rsidRDefault="00793267" w:rsidP="00793267">
      <w:pPr>
        <w:jc w:val="center"/>
        <w:rPr>
          <w:b/>
          <w:noProof/>
        </w:rPr>
      </w:pPr>
    </w:p>
    <w:p w:rsidR="00B65FEC" w:rsidRPr="00EE50FB" w:rsidRDefault="00B65FEC" w:rsidP="00793267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Обрачун доприноса за уређивање грађевинског земљишта врши се на захтев инвеститора из члана 3. ове Одлуке, а на основу достављене урбанистичко - техничке документације, односно правоснажних локацијских услова, извода из пројекта за грађевинску дозволу, сепарата пројекта за грађевинску дозволу која се мења, пројекта изведеног стања и др. документације прописане важећим Законом о планирању и изградњи и подзаконским актима.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>Llogaritja e kontributit për rregullimin e tokës ndërtimore bëhet në kërkesë të investitorit nga neni 3. i këtij Vendimi, e në bazë të dorzimit të dokumentacionit urbanistiko-teknik, gjegjësisht kushteve të plotëfuqishme të lokacionit, ekstraktit nga projekti për lejen e ndërtimit, separata e projektit për lejen e ndërtimit e cila ndryshohet, projekti i gjendjes ekzistuese etj., dokumentacionet e parapara me Ligjin e vlefshëm mbi planifikimin dhe ndërtimin dhe aktet nënligjore.</w:t>
      </w:r>
    </w:p>
    <w:p w:rsidR="00B65FEC" w:rsidRPr="00EE50FB" w:rsidRDefault="00B65FEC" w:rsidP="00B65FEC">
      <w:pPr>
        <w:pStyle w:val="4clan"/>
        <w:spacing w:before="0" w:after="0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B65FEC" w:rsidP="00B65FEC">
      <w:pPr>
        <w:pStyle w:val="4clan"/>
        <w:spacing w:before="0" w:after="0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>Члан -Neni 11.</w:t>
      </w:r>
    </w:p>
    <w:p w:rsidR="00B65FEC" w:rsidRPr="00EE50FB" w:rsidRDefault="00B65FEC" w:rsidP="00B65FE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Допринос за уређивање грађевинског земљишта не обрачунава се за објекте:</w:t>
      </w:r>
    </w:p>
    <w:p w:rsidR="00B65FEC" w:rsidRPr="00EE50FB" w:rsidRDefault="00B65FEC" w:rsidP="00B65FE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Kontributi për rregullimin e tokës ndërtimore nuk llogaritet për objektet: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t xml:space="preserve">Државни органи,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Organet e shtetit, 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t xml:space="preserve">Органи територијалне аутономије и локалне самоуправе и организације </w:t>
      </w:r>
    </w:p>
    <w:p w:rsidR="00B65FEC" w:rsidRPr="00EE50FB" w:rsidRDefault="00B65FEC" w:rsidP="00B65FEC">
      <w:pPr>
        <w:pStyle w:val="ListParagraph"/>
        <w:ind w:left="0"/>
        <w:contextualSpacing/>
        <w:jc w:val="both"/>
        <w:rPr>
          <w:noProof/>
        </w:rPr>
      </w:pPr>
      <w:r w:rsidRPr="00EE50FB">
        <w:rPr>
          <w:noProof/>
        </w:rPr>
        <w:t xml:space="preserve">            социјалног осигурања,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>Organet e autonimisë territoriale dhe vetëadministratës lokale dhe organizatat e</w:t>
      </w:r>
    </w:p>
    <w:p w:rsidR="00B65FEC" w:rsidRPr="00EE50FB" w:rsidRDefault="00B65FEC" w:rsidP="00B65FEC">
      <w:pPr>
        <w:pStyle w:val="ListParagraph"/>
        <w:jc w:val="both"/>
        <w:rPr>
          <w:noProof/>
        </w:rPr>
      </w:pPr>
      <w:r w:rsidRPr="00EE50FB">
        <w:rPr>
          <w:noProof/>
        </w:rPr>
        <w:t xml:space="preserve"> sigurimit social, 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t xml:space="preserve">Организације регистроване за обављање делатности у области друштвене </w:t>
      </w:r>
    </w:p>
    <w:p w:rsidR="00B65FEC" w:rsidRPr="00EE50FB" w:rsidRDefault="00B65FEC" w:rsidP="00B65FEC">
      <w:pPr>
        <w:pStyle w:val="ListParagraph"/>
        <w:ind w:left="0"/>
        <w:contextualSpacing/>
        <w:jc w:val="both"/>
        <w:rPr>
          <w:noProof/>
        </w:rPr>
      </w:pPr>
      <w:r w:rsidRPr="00EE50FB">
        <w:rPr>
          <w:noProof/>
        </w:rPr>
        <w:t xml:space="preserve">            заштите деце и омладине и социалне заштите,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Organizatat e regjistruara për kryerjen e veprimtarive në sferën e mbrojtjes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shoqërore të fëmijëve dhe të rinjëve si dhe të mbrojtjes sociale, 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t xml:space="preserve">Хуманитарне организације,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Organizatat humanitare, 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t xml:space="preserve">Верски објекти   и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Objektet fetare   dhe  </w:t>
      </w:r>
    </w:p>
    <w:p w:rsidR="00B65FEC" w:rsidRPr="00EE50FB" w:rsidRDefault="00B65FEC" w:rsidP="00B65FEC">
      <w:pPr>
        <w:pStyle w:val="ListParagraph"/>
        <w:numPr>
          <w:ilvl w:val="0"/>
          <w:numId w:val="12"/>
        </w:numPr>
        <w:ind w:left="0" w:firstLine="0"/>
        <w:contextualSpacing/>
        <w:jc w:val="both"/>
        <w:rPr>
          <w:noProof/>
        </w:rPr>
      </w:pPr>
      <w:r w:rsidRPr="00EE50FB">
        <w:rPr>
          <w:noProof/>
        </w:rPr>
        <w:lastRenderedPageBreak/>
        <w:t xml:space="preserve">Јавно предузеће и установе чији осниваћ скупштина општина Бујановац. 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>Ndërrmarjet publike dhe entet publike, themelues i të cilave është Kuvendi</w:t>
      </w:r>
    </w:p>
    <w:p w:rsidR="00B65FEC" w:rsidRPr="00EE50FB" w:rsidRDefault="00B65FEC" w:rsidP="00B65FEC">
      <w:pPr>
        <w:pStyle w:val="ListParagraph"/>
        <w:ind w:left="0" w:firstLine="720"/>
        <w:jc w:val="both"/>
        <w:rPr>
          <w:noProof/>
        </w:rPr>
      </w:pPr>
      <w:r w:rsidRPr="00EE50FB">
        <w:rPr>
          <w:noProof/>
        </w:rPr>
        <w:t xml:space="preserve"> komunal i Bujanocit.</w:t>
      </w:r>
    </w:p>
    <w:p w:rsidR="00B65FEC" w:rsidRPr="00EE50FB" w:rsidRDefault="00B65FEC" w:rsidP="00946AFA">
      <w:pPr>
        <w:rPr>
          <w:b/>
          <w:noProof/>
        </w:rPr>
      </w:pPr>
    </w:p>
    <w:p w:rsidR="00B65FEC" w:rsidRPr="00EE50FB" w:rsidRDefault="00B65FEC" w:rsidP="00B65FEC">
      <w:pPr>
        <w:ind w:left="3600"/>
        <w:rPr>
          <w:b/>
          <w:noProof/>
        </w:rPr>
      </w:pPr>
      <w:r w:rsidRPr="00EE50FB">
        <w:rPr>
          <w:b/>
          <w:bCs/>
          <w:noProof/>
        </w:rPr>
        <w:t xml:space="preserve">  </w:t>
      </w:r>
      <w:r w:rsidRPr="00EE50FB">
        <w:rPr>
          <w:b/>
          <w:noProof/>
        </w:rPr>
        <w:t>Члан -</w:t>
      </w:r>
      <w:r w:rsidRPr="00EE50FB">
        <w:rPr>
          <w:noProof/>
        </w:rPr>
        <w:t xml:space="preserve"> </w:t>
      </w:r>
      <w:r w:rsidRPr="00EE50FB">
        <w:rPr>
          <w:b/>
          <w:noProof/>
        </w:rPr>
        <w:t>Neni 12.</w:t>
      </w:r>
    </w:p>
    <w:p w:rsidR="00B65FEC" w:rsidRPr="00EE50FB" w:rsidRDefault="00B65FEC" w:rsidP="00B65FEC">
      <w:pPr>
        <w:pStyle w:val="4clan"/>
        <w:spacing w:before="0" w:after="0"/>
        <w:ind w:left="360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B65FEC" w:rsidP="00946AFA">
      <w:pPr>
        <w:pStyle w:val="1tekst"/>
        <w:ind w:left="0" w:right="0" w:firstLine="72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>Уколико се мења намена објекта, односно дела објекта у другу намену објекта за коју је прописан већи износ доприноса, инвеститор је у обавези да плати разлику доприноса за другу (нову) намену објекта за коју је прописан већи износ доприноса.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Nëse ndryshohet dedikimi i objektit, gjegjësisht pjesëve të objektit me dedikimin tjetër të objektit për të cilën është paraparë shuma më e madhe e kontributit, investitori është i obliguar të paguaj dallimin e kontributit për dedikimin tjetër (të ri) të objektit për të cilën është paraparë shuma më e madhe e kontributit. </w:t>
      </w:r>
    </w:p>
    <w:p w:rsidR="00FA2696" w:rsidRPr="00EE50FB" w:rsidRDefault="00FA2696" w:rsidP="00B65FEC">
      <w:pPr>
        <w:pStyle w:val="1tekst"/>
        <w:ind w:left="0" w:right="0" w:firstLine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5FEC" w:rsidRPr="00EE50FB" w:rsidRDefault="00B65FEC" w:rsidP="00B65FEC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50FB">
        <w:rPr>
          <w:rFonts w:ascii="Times New Roman" w:hAnsi="Times New Roman" w:cs="Times New Roman"/>
          <w:b/>
          <w:noProof/>
          <w:sz w:val="24"/>
          <w:szCs w:val="24"/>
        </w:rPr>
        <w:t xml:space="preserve">        Члан-Neni 13.</w:t>
      </w:r>
    </w:p>
    <w:p w:rsidR="00FA2696" w:rsidRPr="00EE50FB" w:rsidRDefault="00FA2696" w:rsidP="00B65FEC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5FEC" w:rsidRPr="00EE50FB" w:rsidRDefault="00B65FEC" w:rsidP="00B65FEC">
      <w:pPr>
        <w:pStyle w:val="1tekst"/>
        <w:ind w:left="0" w:right="0" w:firstLine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>Уколико у току изградње настану измене у односу на грађевинску дозволу и инвеститор изгради већу површину обавезан је да достави нови пројекат за грађевинску дозволу, односно сепарат за грађевинску дозволу на основу којих ће се сачинити обрачун доприноса за разлику у површини, који ће бити саставни део измењеног решења о грађевинској дозволи.</w:t>
      </w:r>
    </w:p>
    <w:p w:rsidR="00B65FEC" w:rsidRPr="00EE50FB" w:rsidRDefault="00B65FEC" w:rsidP="00B65FEC">
      <w:pPr>
        <w:ind w:left="3600"/>
        <w:rPr>
          <w:b/>
          <w:noProof/>
        </w:rPr>
      </w:pPr>
      <w:r w:rsidRPr="00EE50FB">
        <w:rPr>
          <w:b/>
          <w:noProof/>
        </w:rPr>
        <w:t xml:space="preserve">    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Nëse gjatë ndërtimit bëhen ndryshimet në raport me lejen e ndërtimit dhe investitori ndërton sipërfaqen më të madhe është i obliguar të paraqes projekt të ri për lejen e ndërtimit, gjegjësisht separat për lejen e ndërtimit në bazë të cilave do të bëhët llogaritja e kontributit për dallimin në sipërfaqe, që do të jetë pjesë përbërse e aktvendimit të ndryshuar  për lejen e ndërtimit.</w:t>
      </w:r>
    </w:p>
    <w:p w:rsidR="00B65FEC" w:rsidRPr="00EE50FB" w:rsidRDefault="00B65FEC" w:rsidP="00B65FEC">
      <w:pPr>
        <w:jc w:val="both"/>
        <w:rPr>
          <w:noProof/>
        </w:rPr>
      </w:pPr>
    </w:p>
    <w:p w:rsidR="00B65FEC" w:rsidRPr="00EE50FB" w:rsidRDefault="00B65FEC" w:rsidP="00B65FEC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ab/>
      </w:r>
      <w:r w:rsidRPr="00EE50FB">
        <w:rPr>
          <w:rFonts w:ascii="Times New Roman" w:hAnsi="Times New Roman" w:cs="Times New Roman"/>
          <w:noProof/>
          <w:sz w:val="24"/>
          <w:szCs w:val="24"/>
        </w:rPr>
        <w:tab/>
      </w:r>
      <w:r w:rsidRPr="00EE50FB">
        <w:rPr>
          <w:rFonts w:ascii="Times New Roman" w:hAnsi="Times New Roman" w:cs="Times New Roman"/>
          <w:noProof/>
          <w:sz w:val="24"/>
          <w:szCs w:val="24"/>
        </w:rPr>
        <w:tab/>
      </w:r>
      <w:r w:rsidRPr="00EE50FB">
        <w:rPr>
          <w:rFonts w:ascii="Times New Roman" w:hAnsi="Times New Roman" w:cs="Times New Roman"/>
          <w:noProof/>
          <w:sz w:val="24"/>
          <w:szCs w:val="24"/>
        </w:rPr>
        <w:tab/>
        <w:t xml:space="preserve">    </w:t>
      </w:r>
      <w:r w:rsidRPr="00EE50FB"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 w:rsidRPr="00EE50FB">
        <w:rPr>
          <w:rFonts w:ascii="Times New Roman" w:hAnsi="Times New Roman" w:cs="Times New Roman"/>
          <w:caps/>
          <w:noProof/>
          <w:sz w:val="24"/>
          <w:szCs w:val="24"/>
        </w:rPr>
        <w:t>Ч</w:t>
      </w:r>
      <w:r w:rsidRPr="00EE50FB">
        <w:rPr>
          <w:rFonts w:ascii="Times New Roman" w:hAnsi="Times New Roman" w:cs="Times New Roman"/>
          <w:noProof/>
          <w:sz w:val="24"/>
          <w:szCs w:val="24"/>
        </w:rPr>
        <w:t>лан- Neni  14.</w:t>
      </w:r>
    </w:p>
    <w:p w:rsidR="00FA2696" w:rsidRPr="00EE50FB" w:rsidRDefault="00FA2696" w:rsidP="00B65FEC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B65FEC" w:rsidP="00B65FEC">
      <w:pPr>
        <w:pStyle w:val="1tekst"/>
        <w:ind w:left="0" w:right="0" w:firstLine="0"/>
        <w:rPr>
          <w:rFonts w:ascii="Times New Roman" w:hAnsi="Times New Roman" w:cs="Times New Roman"/>
          <w:bCs/>
          <w:noProof/>
          <w:sz w:val="24"/>
          <w:szCs w:val="24"/>
        </w:rPr>
      </w:pPr>
      <w:r w:rsidRPr="00EE50FB">
        <w:rPr>
          <w:rFonts w:ascii="Times New Roman" w:hAnsi="Times New Roman" w:cs="Times New Roman"/>
          <w:bCs/>
          <w:noProof/>
          <w:sz w:val="24"/>
          <w:szCs w:val="24"/>
        </w:rPr>
        <w:t>Инвеститор који уклања постојећи објекат који је изграђен у складу са законом, у циљу изградње новог објекта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уклања.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>Легалност и површина објекта из става 1. овог члана доказује се: изводом из земљишних књига, односно изводом из Листа непокретности; грађевинском и употребном дозволом или уверењем Одељења за Урбанизам ,имовинске-правне послове и заштиту животне средине да је објекат грађен  у периоду када за његову изградњу није било потребно издавање грађевинске дозволе. Уколико наведене исправе не садрже податке о површини објекта, иста се утврђује на основу акта надлежног одељења, или техничке документације која је саставни део грађевинске дозволе, копије плана или увиђаја на лицу места од стране овлашћеног</w:t>
      </w:r>
      <w:r w:rsidRPr="00EE50FB">
        <w:rPr>
          <w:b/>
          <w:noProof/>
        </w:rPr>
        <w:t xml:space="preserve"> </w:t>
      </w:r>
      <w:r w:rsidR="000B2E93" w:rsidRPr="00EE50FB">
        <w:rPr>
          <w:noProof/>
        </w:rPr>
        <w:t>Одељења за инвестиције и развој</w:t>
      </w:r>
      <w:r w:rsidRPr="00EE50FB">
        <w:rPr>
          <w:noProof/>
        </w:rPr>
        <w:t>.</w:t>
      </w:r>
    </w:p>
    <w:p w:rsidR="00B65FEC" w:rsidRPr="00EE50FB" w:rsidRDefault="00B65FEC" w:rsidP="00B65FEC">
      <w:pPr>
        <w:pStyle w:val="4clan"/>
        <w:spacing w:before="0" w:after="0"/>
        <w:jc w:val="both"/>
        <w:rPr>
          <w:b w:val="0"/>
          <w:noProof/>
        </w:rPr>
      </w:pPr>
      <w:r w:rsidRPr="00EE50FB">
        <w:rPr>
          <w:b w:val="0"/>
          <w:noProof/>
        </w:rPr>
        <w:t xml:space="preserve">         </w:t>
      </w: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Investitori i cili e largon objektin ekzistues që është i ndërtuar në pajtim me Ligjin, me qëllim të ndërtimit të objektit të ri në lokacionin e njejtë paguan kontribut për </w:t>
      </w:r>
      <w:r w:rsidRPr="00EE50FB">
        <w:rPr>
          <w:noProof/>
        </w:rPr>
        <w:lastRenderedPageBreak/>
        <w:t xml:space="preserve">rregullimin e tokës ndërtimore vetëm për dallimin në numrin e katrorëve të sipërfaqes shfrytëzuese në mes të objektit që planifikon ta ndërtoj dhe objektit i cili largohet.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         Legalizimi dhe sipërfaqja e objektit nga paragrafi 1. i këtij neni dëshmohet: me ekstrakt nga librat e tokës gjegjësisht me ekstrakt nga lista e patundshmërisë; me lejen e ndërtimit dhe të përdorimit ose me vërtetimin e Drejtoriatit për urbanizëm, punët pronësoro-juridike dhe për mbrojtjen e mjedisit jetësor se objekti është i ndërtuar në periudhën kur për ndërtimin e tij nuk ka qenë e nevojshme  të jipet leja e ndërtimit. Nëse dokumentet e shënuara nuk përmbajnë shënimet mbi sipërfaqen e objektit, e njejta përcaktohet në bazë të akteve të Drejtoriatit kompetent, ose dokumentacionit teknik që është pjesë përbërse e lejes së ndërtimit, kopja e planit ose ekspertizës në vendin e ngjarjes nga ana e </w:t>
      </w:r>
      <w:r w:rsidR="000B2E93" w:rsidRPr="00EE50FB">
        <w:rPr>
          <w:noProof/>
        </w:rPr>
        <w:t>Drejtoratit për investime dhe zhvillim</w:t>
      </w:r>
      <w:r w:rsidRPr="00EE50FB">
        <w:rPr>
          <w:noProof/>
        </w:rPr>
        <w:t xml:space="preserve">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b/>
          <w:bCs/>
          <w:noProof/>
        </w:rPr>
      </w:pPr>
      <w:r w:rsidRPr="00EE50FB">
        <w:rPr>
          <w:noProof/>
        </w:rPr>
        <w:t xml:space="preserve">                  </w:t>
      </w:r>
    </w:p>
    <w:p w:rsidR="00B65FEC" w:rsidRPr="00EE50FB" w:rsidRDefault="008100B8" w:rsidP="008100B8">
      <w:pPr>
        <w:pStyle w:val="1tekst"/>
        <w:ind w:left="0" w:right="0" w:firstLine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E50FB">
        <w:rPr>
          <w:rFonts w:ascii="Times New Roman" w:hAnsi="Times New Roman" w:cs="Times New Roman"/>
          <w:b/>
          <w:bCs/>
          <w:noProof/>
          <w:sz w:val="24"/>
          <w:szCs w:val="24"/>
        </w:rPr>
        <w:t>IV.</w:t>
      </w:r>
      <w:r w:rsidR="00B65FEC" w:rsidRPr="00EE50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НАЧИН ПЛАЋАЊА ДОПРИНОСА И СРЕДСТВА ОБЕЗБЕЂЕЊА</w:t>
      </w:r>
    </w:p>
    <w:p w:rsidR="00B65FEC" w:rsidRPr="00EE50FB" w:rsidRDefault="00B65FEC" w:rsidP="00B65FEC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65FEC" w:rsidRPr="00EE50FB" w:rsidRDefault="008100B8" w:rsidP="00B65FEC">
      <w:pPr>
        <w:shd w:val="clear" w:color="auto" w:fill="FFFFFF"/>
        <w:jc w:val="both"/>
        <w:rPr>
          <w:b/>
          <w:noProof/>
        </w:rPr>
      </w:pPr>
      <w:r w:rsidRPr="00EE50FB">
        <w:rPr>
          <w:b/>
          <w:noProof/>
        </w:rPr>
        <w:t>IV</w:t>
      </w:r>
      <w:r w:rsidR="00B65FEC" w:rsidRPr="00EE50FB">
        <w:rPr>
          <w:b/>
          <w:noProof/>
        </w:rPr>
        <w:t>. MËNYRA E PAGESËS SË KONTRIBUTIT DHE  MJETET E SIGURUARA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ab/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                                                     </w:t>
      </w:r>
      <w:r w:rsidRPr="00EE50FB">
        <w:rPr>
          <w:b/>
          <w:bCs/>
          <w:noProof/>
        </w:rPr>
        <w:t>Члан -</w:t>
      </w:r>
      <w:r w:rsidRPr="00EE50FB">
        <w:rPr>
          <w:b/>
          <w:noProof/>
        </w:rPr>
        <w:t>Neni 15.</w:t>
      </w:r>
    </w:p>
    <w:p w:rsidR="00B65FEC" w:rsidRPr="00EE50FB" w:rsidRDefault="00B65FEC" w:rsidP="00B65FEC">
      <w:pPr>
        <w:pStyle w:val="1tekst"/>
        <w:ind w:left="0" w:right="0" w:firstLine="0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65FEC" w:rsidRPr="00EE50FB" w:rsidRDefault="00B65FEC" w:rsidP="00B65FEC">
      <w:pPr>
        <w:ind w:firstLine="720"/>
        <w:jc w:val="both"/>
        <w:rPr>
          <w:bCs/>
          <w:noProof/>
        </w:rPr>
      </w:pPr>
      <w:r w:rsidRPr="00EE50FB">
        <w:rPr>
          <w:bCs/>
          <w:noProof/>
        </w:rPr>
        <w:t xml:space="preserve">Допринос за уређивање грађевинског земљишта може се платити једнократно у целости или на рате. </w:t>
      </w: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 xml:space="preserve">Инвеститор допринос за уређивање грађевинског земљишта може платити на следећи начин: </w:t>
      </w: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>-     једнократно у целости са умањењем се у износу од 30%  или</w:t>
      </w: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 xml:space="preserve">-  у 36 месечних рата, уз усклађивање рата, на месечном нивоу, са индексом потрошачких цена према подацима  Републичког завода за статистику. </w:t>
      </w: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>У случају плаћања доприноса за уређивање грађевинског земљишта на рате, инвеститор је дужан да као средство обезбеђења плаћања достави:</w:t>
      </w:r>
    </w:p>
    <w:p w:rsidR="00B65FEC" w:rsidRPr="00EE50FB" w:rsidRDefault="00B65FEC" w:rsidP="00B65FEC">
      <w:pPr>
        <w:numPr>
          <w:ilvl w:val="0"/>
          <w:numId w:val="4"/>
        </w:numPr>
        <w:jc w:val="both"/>
        <w:rPr>
          <w:bCs/>
          <w:noProof/>
        </w:rPr>
      </w:pPr>
      <w:r w:rsidRPr="00EE50FB">
        <w:rPr>
          <w:bCs/>
          <w:noProof/>
        </w:rPr>
        <w:t>неопозиву банкарску гаранцију, наплативу на први позив, без приговора која гласи на укупан износ недоспелих рата и која је издата на рок који мора бити дужи три месеца  од дана доспећа последње рате или</w:t>
      </w:r>
    </w:p>
    <w:p w:rsidR="00B65FEC" w:rsidRPr="00EE50FB" w:rsidRDefault="00B65FEC" w:rsidP="00B65FEC">
      <w:pPr>
        <w:numPr>
          <w:ilvl w:val="0"/>
          <w:numId w:val="4"/>
        </w:numPr>
        <w:jc w:val="both"/>
        <w:rPr>
          <w:bCs/>
          <w:noProof/>
        </w:rPr>
      </w:pPr>
      <w:r w:rsidRPr="00EE50FB">
        <w:rPr>
          <w:bCs/>
          <w:noProof/>
        </w:rPr>
        <w:t>успостави хипотеку на објекту који вреди најмање 30% више од укупног износа недоспелих рата у корист јединице локалне самоуправе</w:t>
      </w:r>
    </w:p>
    <w:p w:rsidR="00B65FEC" w:rsidRPr="00EE50FB" w:rsidRDefault="00B65FEC" w:rsidP="00B65FEC">
      <w:pPr>
        <w:jc w:val="both"/>
        <w:rPr>
          <w:bCs/>
          <w:noProof/>
        </w:rPr>
      </w:pPr>
      <w:r w:rsidRPr="00EE50FB">
        <w:rPr>
          <w:bCs/>
          <w:noProof/>
        </w:rPr>
        <w:t xml:space="preserve">У случају плаћања доприноса за уређивање грађевинског земљишта на рате за изградњу објеката чија укупна бруто развијена грађевинска површина не прелази 200м² и који не садржи више од две стамбене јединице, из става  5. овог члана, не достављају се средства обезбеђења.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Kontributi për rregullimin e tokës ndërtimore mund të paguhet në tërësi- përnjëhershme ose në këste.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Investitori kontributin për rregullimin e tokës ndërtimore mund ta paguaj në mënyrë si vijon: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>- përnjëhershme në tërësi me zvogëlim në shumë prej 30% ose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- në këste për 36 muaj, me harmonizimin e kësteve në nivelin mujor, me indeksin e çmimeve harxhuese sipas shënimeve të Entit Republikan për statistikë.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lastRenderedPageBreak/>
        <w:t>Në rast të pagesës së kontributit për rregullimin e tokës ndërtimore në këste investitori është i obliguar që si mjet i sigurisë së pagesës të paraqes:</w:t>
      </w:r>
    </w:p>
    <w:p w:rsidR="00B65FEC" w:rsidRPr="00EE50FB" w:rsidRDefault="00B65FEC" w:rsidP="00B65FEC">
      <w:pPr>
        <w:numPr>
          <w:ilvl w:val="0"/>
          <w:numId w:val="2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garancionin bankar të parevokueshëm, të paguar në ftesën e parë, pa ankesë që është në shumën e tërsishme të kësteve të paarritshme dhe e cila është e lëshuar në afat që duhet të jetë i gjatë tre muaj nga dita e arritjes së këstit të fundit ose</w:t>
      </w:r>
    </w:p>
    <w:p w:rsidR="00B65FEC" w:rsidRPr="00EE50FB" w:rsidRDefault="00B65FEC" w:rsidP="00B65FEC">
      <w:pPr>
        <w:numPr>
          <w:ilvl w:val="0"/>
          <w:numId w:val="2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të ven hipotekë në objektin që vlen më së paku 30% nga shuma e tërsishme e kësteve të paarritura në dobi (shfrytëzim) të njësisë së vetadministrimit lokal. </w:t>
      </w:r>
    </w:p>
    <w:p w:rsidR="00B65FEC" w:rsidRPr="00EE50FB" w:rsidRDefault="00B65FEC" w:rsidP="008771FD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>Në rast të pagesës së kontributit për rregullimin e tokës ndërtimore në këste për ndërtimin e objektit në të cilën bruto sipërfaqja e zhvilluar e tërsishme ndërtimore nuk e tejkalon 200 m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dhe i cili nuk përmban më shumë se dy njësi banesore, nga paragrafi .5 të këtij neni nuk paraqiten (dëshmi) mjetet e sigurimit. </w:t>
      </w:r>
    </w:p>
    <w:p w:rsidR="00B65FEC" w:rsidRPr="00EE50FB" w:rsidRDefault="00B65FEC" w:rsidP="00A439D4">
      <w:pPr>
        <w:pStyle w:val="clan"/>
        <w:rPr>
          <w:rFonts w:ascii="Times New Roman" w:hAnsi="Times New Roman" w:cs="Times New Roman"/>
          <w:noProof/>
        </w:rPr>
      </w:pPr>
      <w:r w:rsidRPr="00EE50FB">
        <w:rPr>
          <w:rFonts w:ascii="Times New Roman" w:hAnsi="Times New Roman" w:cs="Times New Roman"/>
          <w:noProof/>
        </w:rPr>
        <w:t>Члан-</w:t>
      </w:r>
      <w:r w:rsidRPr="00EE50FB">
        <w:rPr>
          <w:b w:val="0"/>
          <w:noProof/>
        </w:rPr>
        <w:t xml:space="preserve"> </w:t>
      </w:r>
      <w:r w:rsidRPr="00EE50FB">
        <w:rPr>
          <w:rFonts w:ascii="Times New Roman" w:hAnsi="Times New Roman" w:cs="Times New Roman"/>
          <w:noProof/>
        </w:rPr>
        <w:t>Neni 16.</w:t>
      </w:r>
      <w:r w:rsidRPr="00EE50FB">
        <w:rPr>
          <w:rFonts w:ascii="Times New Roman" w:hAnsi="Times New Roman" w:cs="Times New Roman"/>
          <w:noProof/>
        </w:rPr>
        <w:br/>
      </w:r>
      <w:r w:rsidRPr="00EE50FB">
        <w:rPr>
          <w:rFonts w:ascii="Times New Roman" w:hAnsi="Times New Roman" w:cs="Times New Roman"/>
          <w:b w:val="0"/>
          <w:noProof/>
        </w:rPr>
        <w:t xml:space="preserve">          За изградњу објеката за обављање делатности која је од значаја за привредни развој општине Бујановац, допринос се може умањити до </w:t>
      </w:r>
      <w:r w:rsidRPr="00EE50FB">
        <w:rPr>
          <w:rFonts w:ascii="Times New Roman" w:hAnsi="Times New Roman" w:cs="Times New Roman"/>
          <w:noProof/>
        </w:rPr>
        <w:t>30%</w:t>
      </w:r>
      <w:r w:rsidRPr="00EE50FB">
        <w:rPr>
          <w:rFonts w:ascii="Times New Roman" w:hAnsi="Times New Roman" w:cs="Times New Roman"/>
          <w:b w:val="0"/>
          <w:noProof/>
        </w:rPr>
        <w:t>, уз сагласност општинског  већа Бујановац.</w:t>
      </w:r>
      <w:r w:rsidRPr="00EE50FB">
        <w:rPr>
          <w:rFonts w:ascii="Times New Roman" w:hAnsi="Times New Roman" w:cs="Times New Roman"/>
          <w:noProof/>
        </w:rPr>
        <w:t xml:space="preserve"> </w:t>
      </w:r>
      <w:r w:rsidRPr="00EE50FB">
        <w:rPr>
          <w:rFonts w:ascii="Times New Roman" w:hAnsi="Times New Roman" w:cs="Times New Roman"/>
          <w:b w:val="0"/>
          <w:noProof/>
        </w:rPr>
        <w:t>Умањење из ста</w:t>
      </w:r>
      <w:r w:rsidR="00350BC1" w:rsidRPr="00EE50FB">
        <w:rPr>
          <w:rFonts w:ascii="Times New Roman" w:hAnsi="Times New Roman" w:cs="Times New Roman"/>
          <w:b w:val="0"/>
          <w:noProof/>
        </w:rPr>
        <w:t>ва 1 овог члана не односи се на</w:t>
      </w:r>
      <w:r w:rsidR="00713711" w:rsidRPr="00EE50FB">
        <w:rPr>
          <w:rFonts w:ascii="Times New Roman" w:hAnsi="Times New Roman" w:cs="Times New Roman"/>
          <w:b w:val="0"/>
          <w:noProof/>
        </w:rPr>
        <w:t xml:space="preserve"> </w:t>
      </w:r>
      <w:r w:rsidRPr="00EE50FB">
        <w:rPr>
          <w:rFonts w:ascii="Times New Roman" w:hAnsi="Times New Roman" w:cs="Times New Roman"/>
          <w:b w:val="0"/>
          <w:noProof/>
        </w:rPr>
        <w:t>објекте станоградње.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Për  ndërtimin e objekteve që janë me rëndësi për  zhvillimin ekonomik të komunës së Bujanocit, kontributi  mund të zvogëlohet  deri </w:t>
      </w:r>
      <w:r w:rsidRPr="00EE50FB">
        <w:rPr>
          <w:b/>
          <w:noProof/>
        </w:rPr>
        <w:t>30%</w:t>
      </w:r>
      <w:r w:rsidRPr="00EE50FB">
        <w:rPr>
          <w:noProof/>
        </w:rPr>
        <w:t xml:space="preserve"> me pëlqimin e Këshillit komunal të Bujanocit. Zvogëlimi nga paragrafi 1. i këtij neni nuk përfshinë objektet e ndërtimbanesave. </w:t>
      </w:r>
    </w:p>
    <w:p w:rsidR="00A97860" w:rsidRPr="00EE50FB" w:rsidRDefault="00A97860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ind w:left="3600"/>
        <w:rPr>
          <w:b/>
          <w:noProof/>
        </w:rPr>
      </w:pPr>
      <w:r w:rsidRPr="00EE50FB">
        <w:rPr>
          <w:b/>
          <w:noProof/>
        </w:rPr>
        <w:t>Члан - Neni 17.</w:t>
      </w:r>
    </w:p>
    <w:p w:rsidR="00B65FEC" w:rsidRPr="00EE50FB" w:rsidRDefault="00B65FEC" w:rsidP="00B65FEC">
      <w:pPr>
        <w:jc w:val="center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>Инвеститор је дужан да изврши уплату доприноса за уређивање грађевинског земљишта у целости, односно ако плаћа на рате да уплати прву рату и достави средства обезбеђења, најкасније до подношења пријаве.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 Уколико инвеститор не измири доспели износ доприноса у прописаном року, наплата ће се извршити принудним путем у поступку прописаном важећим Законом о преском систему и пореској администрацији.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Овлашћује се Одељење локалне пореске администрације у складу са Законом о пореском  систему и пореској администрацији за наплату доприноса за уређивање грађевинског земљишта.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 xml:space="preserve">          Трошкови принудне наплате падају на терет инвеститора.</w:t>
      </w:r>
    </w:p>
    <w:p w:rsidR="00B65FEC" w:rsidRPr="00EE50FB" w:rsidRDefault="00B65FEC" w:rsidP="00B65FEC">
      <w:pPr>
        <w:shd w:val="clear" w:color="auto" w:fill="FFFFFF"/>
        <w:rPr>
          <w:b/>
          <w:noProof/>
        </w:rPr>
      </w:pPr>
      <w:r w:rsidRPr="00EE50FB">
        <w:rPr>
          <w:b/>
          <w:noProof/>
        </w:rPr>
        <w:t xml:space="preserve">     </w:t>
      </w: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  Investitori është i obliguar të bënë pagesën e kontributit për rregullimin e tokës ndërtimore në tërësi, gjegjësisht nëse e bënë pagesën në këste ta bëj pagesën e këstit të parë dhe të paraqes mjetet e sigurimit, më së voni deri në dërgesën e fletëparqitjes.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             Nëse investitori nuk e kryen shumën e arritur të kontributit në afatin e paraparë, pagesa do të bëhet në mënyrë të dhunshme në procedurën e paraparë me Ligjin në fuqi mbi sistemin tatimor dhe administratën tatimore.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            Autorizohet Drejtorati për Administratë tatimore lokale për inkasimin e kontributit për rregullimin e tokës ndërtimore, në pajtim me Ligjin për sistemin tatimor dhe administratën tatimore.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Harxhimet e pagesës së dhunshme i bien në barrë investitorit. </w:t>
      </w:r>
    </w:p>
    <w:p w:rsidR="00B65FEC" w:rsidRPr="00EE50FB" w:rsidRDefault="00B65FEC" w:rsidP="00B65FEC">
      <w:pPr>
        <w:shd w:val="clear" w:color="auto" w:fill="FFFFFF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rPr>
          <w:b/>
          <w:noProof/>
        </w:rPr>
      </w:pPr>
    </w:p>
    <w:p w:rsidR="00B65FEC" w:rsidRPr="00EE50FB" w:rsidRDefault="00B65FEC" w:rsidP="00AF231B">
      <w:pPr>
        <w:pStyle w:val="4clan"/>
        <w:spacing w:before="0" w:after="0"/>
        <w:jc w:val="left"/>
        <w:rPr>
          <w:rFonts w:ascii="Times New Roman" w:hAnsi="Times New Roman" w:cs="Times New Roman"/>
          <w:caps/>
          <w:noProof/>
          <w:sz w:val="24"/>
          <w:szCs w:val="24"/>
        </w:rPr>
      </w:pPr>
      <w:r w:rsidRPr="00EE50FB">
        <w:rPr>
          <w:rFonts w:ascii="Times New Roman" w:hAnsi="Times New Roman" w:cs="Times New Roman"/>
          <w:caps/>
          <w:noProof/>
          <w:sz w:val="24"/>
          <w:szCs w:val="24"/>
        </w:rPr>
        <w:t>V</w:t>
      </w:r>
      <w:r w:rsidR="00AF231B" w:rsidRPr="00EE50FB">
        <w:rPr>
          <w:rFonts w:ascii="Times New Roman" w:hAnsi="Times New Roman" w:cs="Times New Roman"/>
          <w:caps/>
          <w:noProof/>
          <w:sz w:val="24"/>
          <w:szCs w:val="24"/>
        </w:rPr>
        <w:t xml:space="preserve">.   </w:t>
      </w:r>
      <w:r w:rsidRPr="00EE50FB">
        <w:rPr>
          <w:rFonts w:ascii="Times New Roman" w:hAnsi="Times New Roman" w:cs="Times New Roman"/>
          <w:caps/>
          <w:noProof/>
          <w:sz w:val="24"/>
          <w:szCs w:val="24"/>
        </w:rPr>
        <w:t>Уговор о регулисању мЕЂусобних односа у вези КОМУНАЛНОг ОПРЕМАЊа НЕИЗГРАЂЕНОГ ГРАЂЕВИНСКОГ ЗЕМЉИШТА СРЕДСТВИМА ФИЗИЧКИХ И ПРАВНИХ ЛИЦА</w:t>
      </w:r>
    </w:p>
    <w:p w:rsidR="00B65FEC" w:rsidRPr="00EE50FB" w:rsidRDefault="00B65FEC" w:rsidP="00B65FEC">
      <w:pPr>
        <w:pStyle w:val="4clan"/>
        <w:spacing w:before="0" w:after="0"/>
        <w:rPr>
          <w:rFonts w:ascii="Times New Roman" w:hAnsi="Times New Roman" w:cs="Times New Roman"/>
          <w:caps/>
          <w:noProof/>
          <w:sz w:val="24"/>
          <w:szCs w:val="24"/>
          <w:u w:val="single"/>
        </w:rPr>
      </w:pPr>
    </w:p>
    <w:p w:rsidR="00B65FEC" w:rsidRPr="00EE50FB" w:rsidRDefault="00B65FEC" w:rsidP="006E12BD">
      <w:pPr>
        <w:shd w:val="clear" w:color="auto" w:fill="FFFFFF"/>
        <w:rPr>
          <w:b/>
          <w:noProof/>
        </w:rPr>
      </w:pPr>
      <w:r w:rsidRPr="00EE50FB">
        <w:rPr>
          <w:b/>
          <w:noProof/>
        </w:rPr>
        <w:t>V.</w:t>
      </w:r>
      <w:r w:rsidR="00AF231B" w:rsidRPr="00EE50FB">
        <w:rPr>
          <w:b/>
          <w:noProof/>
        </w:rPr>
        <w:t xml:space="preserve"> </w:t>
      </w:r>
      <w:r w:rsidRPr="00EE50FB">
        <w:rPr>
          <w:b/>
          <w:noProof/>
        </w:rPr>
        <w:t xml:space="preserve"> KONTRATA MBI RREGULLIMIN E MARRËDHËNJEVE NË MES VETI  </w:t>
      </w:r>
      <w:r w:rsidR="00AF231B" w:rsidRPr="00EE50FB">
        <w:rPr>
          <w:b/>
          <w:noProof/>
        </w:rPr>
        <w:t xml:space="preserve"> </w:t>
      </w:r>
      <w:r w:rsidRPr="00EE50FB">
        <w:rPr>
          <w:b/>
          <w:noProof/>
        </w:rPr>
        <w:t xml:space="preserve">LIDHUR ME PËRGADITJEN KOMUNALE TË TOKËS SË PANDËRTUAR </w:t>
      </w:r>
      <w:r w:rsidR="00AF231B" w:rsidRPr="00EE50FB">
        <w:rPr>
          <w:b/>
          <w:noProof/>
        </w:rPr>
        <w:t xml:space="preserve"> </w:t>
      </w:r>
      <w:r w:rsidRPr="00EE50FB">
        <w:rPr>
          <w:b/>
          <w:noProof/>
        </w:rPr>
        <w:t>NDËRTIMOREME MJETET E PERSONAVE FIZIK DHE JURIDIK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rPr>
          <w:b/>
          <w:noProof/>
        </w:rPr>
      </w:pPr>
      <w:r w:rsidRPr="00EE50FB">
        <w:rPr>
          <w:b/>
          <w:noProof/>
        </w:rPr>
        <w:t xml:space="preserve">                                                         Члан -Neni 18.</w:t>
      </w:r>
    </w:p>
    <w:p w:rsidR="00B65FEC" w:rsidRPr="00EE50FB" w:rsidRDefault="00B65FEC" w:rsidP="00B65FEC">
      <w:pPr>
        <w:shd w:val="clear" w:color="auto" w:fill="FFFFFF"/>
        <w:rPr>
          <w:b/>
          <w:noProof/>
        </w:rPr>
      </w:pP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>Грађевинско земљиште које није уређено у смислу ове Одлуке, а налази се у обухвату планског документа на основу кога се могу издати локацијски услови, односно грађевинска дозвола, може се припремити, односно опремити и средствима физичких или правних лица.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</w:t>
      </w:r>
      <w:r w:rsidRPr="00EE50FB">
        <w:rPr>
          <w:noProof/>
        </w:rPr>
        <w:br/>
        <w:t xml:space="preserve">Заинтересовано лице, односно инвеститор објекта који се гради на неуређеном грађевинском земљишту подноси </w:t>
      </w:r>
      <w:r w:rsidR="001C001B" w:rsidRPr="00EE50FB">
        <w:rPr>
          <w:noProof/>
        </w:rPr>
        <w:t>Одељење за инвестиције и развој</w:t>
      </w:r>
      <w:r w:rsidRPr="00EE50FB">
        <w:rPr>
          <w:noProof/>
        </w:rPr>
        <w:t>,  предлог о финансирању припремања, односно опремања грађевинског земљишта.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t>Уз предлог о финансирању лице из става 2. овог члана доставља: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br/>
        <w:t>-правоснажне локацијске услове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br/>
        <w:t>-  доказ о решеним имовинско – правним односима за  парцелу на којој намерава да гради објекта</w:t>
      </w:r>
    </w:p>
    <w:p w:rsidR="00B65FEC" w:rsidRPr="00EE50FB" w:rsidRDefault="00B65FEC" w:rsidP="00B65FEC">
      <w:pPr>
        <w:jc w:val="both"/>
        <w:rPr>
          <w:noProof/>
        </w:rPr>
      </w:pPr>
      <w:r w:rsidRPr="00EE50FB">
        <w:rPr>
          <w:noProof/>
        </w:rPr>
        <w:br/>
        <w:t>-   копија плана за парцеле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 предлог динамике и рокова изградње </w:t>
      </w:r>
    </w:p>
    <w:p w:rsidR="00B65FEC" w:rsidRPr="00EE50FB" w:rsidRDefault="00B65FEC" w:rsidP="00B65FEC">
      <w:pPr>
        <w:shd w:val="clear" w:color="auto" w:fill="FFFFFF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Toka ndërtimore që nuk është e rregulluar sipas këtij Vendimi, e gjindet në përfshirje të dokumentit planor në bazë të së cilës mund të ipen kushtet e lokacionit, gjegjësisht leja e ndërtimit, mund të përgaditet, gjegjësisht të përgaditet edhe me mjetet e personave fizik ose juridik. </w:t>
      </w:r>
    </w:p>
    <w:p w:rsidR="00B65FEC" w:rsidRPr="00EE50FB" w:rsidRDefault="00B65FEC" w:rsidP="00B65FEC">
      <w:pPr>
        <w:ind w:firstLine="720"/>
        <w:jc w:val="both"/>
        <w:rPr>
          <w:noProof/>
        </w:rPr>
      </w:pPr>
      <w:r w:rsidRPr="00EE50FB">
        <w:rPr>
          <w:noProof/>
        </w:rPr>
        <w:t xml:space="preserve">          Personat e interesuar gjegjësisht investitori objekti i cili është duke u ndërtuar në tokën e parregulluar ndëtimore ia dërgon </w:t>
      </w:r>
      <w:r w:rsidR="001C001B" w:rsidRPr="00EE50FB">
        <w:rPr>
          <w:noProof/>
        </w:rPr>
        <w:t>Drejtorati për investime dhe zhvillim</w:t>
      </w:r>
      <w:r w:rsidRPr="00EE50FB">
        <w:rPr>
          <w:noProof/>
        </w:rPr>
        <w:t xml:space="preserve">, propozimin mbi finansimin e përgaditjes, gjegjësisht përgaditjen e  tokës ndërtimore.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Me propozimin mbi finansimin personi nga paragrafi 2. i këtij neni dorzon: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kushtet e plotëfuqishme të lokacionit,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dëshmin mbi marrëdhëniet e kryera pronësoro-juridike për parcelën në të cilën synon të ndërtoj objektin,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kopjen e planit për parcelat,</w:t>
      </w:r>
    </w:p>
    <w:p w:rsidR="00ED1090" w:rsidRPr="00C139DA" w:rsidRDefault="00B65FEC" w:rsidP="00C139DA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propozimin e dinamikës dhe afateve të ndërtimit. </w:t>
      </w:r>
    </w:p>
    <w:p w:rsidR="00873275" w:rsidRPr="00EE50FB" w:rsidRDefault="00873275" w:rsidP="00B65FEC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A439D4" w:rsidRDefault="00A439D4" w:rsidP="00B65FEC">
      <w:pPr>
        <w:pStyle w:val="4clan"/>
        <w:spacing w:before="0" w:after="0"/>
        <w:ind w:left="396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A439D4" w:rsidRDefault="00A439D4" w:rsidP="00B65FEC">
      <w:pPr>
        <w:pStyle w:val="4clan"/>
        <w:spacing w:before="0" w:after="0"/>
        <w:ind w:left="396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B65FEC" w:rsidP="00B65FEC">
      <w:pPr>
        <w:pStyle w:val="4clan"/>
        <w:spacing w:before="0" w:after="0"/>
        <w:ind w:left="396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lastRenderedPageBreak/>
        <w:t>Члан -Neni 19.</w:t>
      </w:r>
    </w:p>
    <w:p w:rsidR="00B65FEC" w:rsidRPr="00EE50FB" w:rsidRDefault="00B65FEC" w:rsidP="00B65FEC">
      <w:pPr>
        <w:pStyle w:val="4clan"/>
        <w:spacing w:before="0" w:after="0"/>
        <w:ind w:left="396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AC788E" w:rsidP="00B65FEC">
      <w:pPr>
        <w:ind w:firstLine="720"/>
        <w:jc w:val="both"/>
        <w:rPr>
          <w:noProof/>
        </w:rPr>
      </w:pPr>
      <w:r w:rsidRPr="00EE50FB">
        <w:rPr>
          <w:noProof/>
        </w:rPr>
        <w:t>Одељење за инвестиције и развој</w:t>
      </w:r>
      <w:r w:rsidR="00B65FEC" w:rsidRPr="00EE50FB">
        <w:rPr>
          <w:noProof/>
        </w:rPr>
        <w:t xml:space="preserve">, након разматрања предлога лица из става 2. члана 18. ове Одлуке и достављене документације, припрема Елаборат о заједничком припремању, односно опремању грађевинског земљишта и предлог уговора о заједничком припремању, односно опремању грађевинског земљишта </w:t>
      </w:r>
    </w:p>
    <w:p w:rsidR="00B65FEC" w:rsidRPr="00EE50FB" w:rsidRDefault="00B65FEC" w:rsidP="00B65FE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Елаборат из става 1. овог члана садржи:</w:t>
      </w:r>
    </w:p>
    <w:p w:rsidR="00B65FEC" w:rsidRPr="00EE50FB" w:rsidRDefault="00B65FEC" w:rsidP="00B65FE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податке о локацији односно зони,</w:t>
      </w: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податке из урбанистичког плана и техничке услове за изградњу недостајуће инфраструктуре,</w:t>
      </w: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податке из програма уређивања грађевинског земљишта,</w:t>
      </w: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границе локације која се опрема са пописом катастарских парцела,</w:t>
      </w: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динамику и рок изградње комуналне инфраструктуре,</w:t>
      </w:r>
    </w:p>
    <w:p w:rsidR="00B65FEC" w:rsidRPr="00EE50FB" w:rsidRDefault="00B65FEC" w:rsidP="00B65FEC">
      <w:pPr>
        <w:pStyle w:val="4clan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 xml:space="preserve">обавезу  </w:t>
      </w:r>
      <w:r w:rsidR="00116145" w:rsidRPr="00EE50FB">
        <w:rPr>
          <w:rFonts w:ascii="Times New Roman" w:hAnsi="Times New Roman" w:cs="Times New Roman"/>
          <w:b w:val="0"/>
          <w:noProof/>
          <w:sz w:val="24"/>
          <w:szCs w:val="24"/>
        </w:rPr>
        <w:t>Одељење за инвестиције и развој</w:t>
      </w: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, да обезбеди стручни надзор у току извођења радова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-   одређивање учешћа сваке уговорне стране у обезбеђивању, односно финансирању израде техничке документације и стручне контроле техничке документације, извођењу радова и избору извођача радова, као и других трошкова у вези са опремањем грађевинског земљишта, укључујући висину и рокове обезбеђивања финансијских и других средстава;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-   одређивање објеката који се граде и који ће прећи у својину јединице локалне самоуправе;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-   одређивање износа учешћа лица из става 1. овог члана у финансирању припремања, односно опремања грађевинског земљишта који ће бити умањен за износ доприноса за уређивање грађевинског земљишта;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E50FB">
        <w:rPr>
          <w:noProof/>
        </w:rPr>
        <w:t xml:space="preserve">-  </w:t>
      </w:r>
      <w:r w:rsidRPr="00EE50FB">
        <w:rPr>
          <w:rFonts w:ascii="Times New Roman" w:hAnsi="Times New Roman" w:cs="Times New Roman"/>
          <w:noProof/>
          <w:sz w:val="24"/>
          <w:szCs w:val="24"/>
        </w:rPr>
        <w:t>средства обезбеђења испуњења обавеза уговорних страна.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</w:p>
    <w:p w:rsidR="00B65FEC" w:rsidRPr="00EE50FB" w:rsidRDefault="00A00521" w:rsidP="00B65FEC">
      <w:pPr>
        <w:ind w:firstLine="720"/>
        <w:jc w:val="both"/>
        <w:rPr>
          <w:noProof/>
        </w:rPr>
      </w:pPr>
      <w:r w:rsidRPr="00EE50FB">
        <w:rPr>
          <w:noProof/>
        </w:rPr>
        <w:t>Drejtorati për investime dhe zhvillim</w:t>
      </w:r>
      <w:r w:rsidR="00B65FEC" w:rsidRPr="00EE50FB">
        <w:rPr>
          <w:noProof/>
        </w:rPr>
        <w:t xml:space="preserve">, pas shqyrtimit të propozimit të personit nga paragrafi 2. i nenit 18. të këtij Vendimi dhe dorëzimit të dokumenteve, përgadit  elaboratin mbi përgaditjen e përbashkët, gjegjësisht paisjen e tokës ndërtimore dhe propozim-kontratën mbi përgaditjen e përbashkët, gjegjësisht përgaditjen e tokës ndërtimore.        </w:t>
      </w:r>
    </w:p>
    <w:p w:rsidR="00B65FEC" w:rsidRPr="00EE50FB" w:rsidRDefault="00B65FEC" w:rsidP="00B65FEC">
      <w:pPr>
        <w:shd w:val="clear" w:color="auto" w:fill="FFFFFF"/>
        <w:ind w:firstLine="360"/>
        <w:jc w:val="both"/>
        <w:rPr>
          <w:noProof/>
        </w:rPr>
      </w:pPr>
      <w:r w:rsidRPr="00EE50FB">
        <w:rPr>
          <w:noProof/>
        </w:rPr>
        <w:t xml:space="preserve">Elaborati nga paragrafi 1. i këtij neni përbanë: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shënimet mbi lokacionin gjegjësisht zonën,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shënimet nga Plani urbanistik dhe kushtet teknike për ndërtimin e infrastrukturës që mungon,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shënimet nga programi i rregullimit të tokës ndërtimore,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kufijt e lokacionit që paisen me listën e parcelave kadastrale,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dinamikën dhe afatet e ndërtimit të infrastrukturës komunale, </w:t>
      </w:r>
    </w:p>
    <w:p w:rsidR="00B65FEC" w:rsidRPr="00EE50FB" w:rsidRDefault="00B65FEC" w:rsidP="00B65FEC">
      <w:pPr>
        <w:ind w:left="720"/>
        <w:jc w:val="both"/>
        <w:rPr>
          <w:noProof/>
        </w:rPr>
      </w:pPr>
      <w:r w:rsidRPr="00EE50FB">
        <w:rPr>
          <w:noProof/>
        </w:rPr>
        <w:t xml:space="preserve">obligimin e </w:t>
      </w:r>
      <w:r w:rsidR="00A320EC" w:rsidRPr="00EE50FB">
        <w:rPr>
          <w:noProof/>
        </w:rPr>
        <w:t>Drejtoratit për investime dhe zhvillim</w:t>
      </w:r>
      <w:r w:rsidRPr="00EE50FB">
        <w:rPr>
          <w:noProof/>
        </w:rPr>
        <w:t>, të siguron mbikqyrjen profesionale gjatë kryerjes së punëve,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caktimin e pjesëmarrjes së çdo pale të kontraktuar në sigurimin, gjegjësisht finansimin e hartimit të dokumentacionit teknik dhe kontrollimit profesional të dokumentacionit teknik, kryerjen e punëve dhe zgjedhjen e kryerësit të punëve, si dhe shpenzimeve tjera lidhur me përgaditjen e tokës ndërtimore, duke përfshirë lartësin dhe afatet e sigurimit të mjeteve finansiare dhe mjeteve tjera,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lastRenderedPageBreak/>
        <w:t xml:space="preserve">caktimi i objekteve të cilat ndërtohen dhe të cilat do të kalojnë në pronë të njësisë së vetadministrimit lokal,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caktimi i shumës së pjesëmarrjes të personave nga paragrafi 1. i këtij neni në finansimin e përgaditjes, gjegjësisht për rregullimin e tokës ndërtimore që do të jetë i zvogëluar për shumën e kontributit për rregullimin e tokës ndërtimore,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mjetet e sigurimit për përmbushjen e obligimit të palëve të kontraktuara. </w:t>
      </w:r>
    </w:p>
    <w:p w:rsidR="00B65FEC" w:rsidRPr="00EE50FB" w:rsidRDefault="00B65FEC" w:rsidP="00B65FEC">
      <w:pPr>
        <w:pStyle w:val="4clan"/>
        <w:spacing w:before="0" w:after="0"/>
        <w:ind w:left="360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noProof/>
        </w:rPr>
        <w:t xml:space="preserve">  </w:t>
      </w:r>
      <w:r w:rsidRPr="00EE50FB">
        <w:rPr>
          <w:b/>
          <w:noProof/>
        </w:rPr>
        <w:t>Члан -Neni 20.</w:t>
      </w:r>
    </w:p>
    <w:p w:rsidR="00B65FEC" w:rsidRPr="00EE50FB" w:rsidRDefault="00B65FEC" w:rsidP="00B65FEC">
      <w:pPr>
        <w:pStyle w:val="4clan"/>
        <w:spacing w:before="0" w:after="0"/>
        <w:ind w:left="3600"/>
        <w:jc w:val="lef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B65FEC" w:rsidRPr="00EE50FB" w:rsidRDefault="00B65FEC" w:rsidP="00B65FEC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 xml:space="preserve">На основу елабората из члана 19. ове Одлуке закључује се Уговор о заједничком припремању, односно опремању грађевинског земљишта између лица из става 2. члана 18.  ове одлуке и </w:t>
      </w:r>
      <w:r w:rsidR="00642191" w:rsidRPr="00EE50FB">
        <w:rPr>
          <w:rFonts w:ascii="Times New Roman" w:hAnsi="Times New Roman" w:cs="Times New Roman"/>
          <w:b w:val="0"/>
          <w:noProof/>
          <w:sz w:val="24"/>
          <w:szCs w:val="24"/>
        </w:rPr>
        <w:t>Одељење за инвестиције и развој</w:t>
      </w: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</w:p>
    <w:p w:rsidR="00B65FEC" w:rsidRPr="00EE50FB" w:rsidRDefault="00B65FEC" w:rsidP="00B65FE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E50FB">
        <w:rPr>
          <w:rFonts w:ascii="Times New Roman" w:hAnsi="Times New Roman" w:cs="Times New Roman"/>
          <w:b w:val="0"/>
          <w:noProof/>
          <w:sz w:val="24"/>
          <w:szCs w:val="24"/>
        </w:rPr>
        <w:t xml:space="preserve">Уговор из става 1. овог члана садржи следеће: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податке о локацији, односно зони у којој се планира опремања грађевинског земљишта;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податке из планског документа и техничке услове за изградњу;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податке из програма уређивања грађевинског земљишта;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границе локације која се припрема, односно опрема са пописом катастарских парцела;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динамику и рок изградње;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обавезу </w:t>
      </w:r>
      <w:r w:rsidR="00642191" w:rsidRPr="00EE50FB">
        <w:rPr>
          <w:rFonts w:ascii="Times New Roman" w:hAnsi="Times New Roman" w:cs="Times New Roman"/>
          <w:noProof/>
          <w:sz w:val="24"/>
          <w:szCs w:val="24"/>
        </w:rPr>
        <w:t>Одељење за инвестиције и развој</w:t>
      </w: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да обезбеди стручни надзор у току извођења радова;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одређивање учешћа сваке уговорне стране у обезбеђивању, односно финансирању израде техничке документације и стручне контроле техничке документације, извођењу радова и избору извођача радова, као и других трошкова у вези са опремањем грађевинског земљишта, укључујући висину и рокове обезбеђивања финансијских и других средстава; 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одређивање објеката који се граде и који ће прећи у својину јединице локалне самоуправе; </w:t>
      </w:r>
    </w:p>
    <w:p w:rsidR="00B65FEC" w:rsidRPr="00EE50FB" w:rsidRDefault="00B65FEC" w:rsidP="00B65FE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одређивање износа учешћа лица из става 1. овог члана у финансирању припремања, односно опремања грађевинског земљишта за који ће бити умањен износ доприноса за уређивање грађевинског земљишта </w:t>
      </w:r>
    </w:p>
    <w:p w:rsidR="00B65FEC" w:rsidRPr="00EE50FB" w:rsidRDefault="00B65FEC" w:rsidP="00B65FEC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>- вредност земљишта које инвеститор уступа јединици локалне самоуправе за изградњу инфраструктурних објеката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- средства обезбеђења за испуњење обавеза уговорних страна. 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          Në bazë të elaboratit nga neni 19. i këtij Vendimi nënshkruhet kontrata mbi përgaditjen e përbashkët të tokës ndërtimore në mes të personave nga paragrafi 2. i nenit 18. të këtij Vendimi dhe </w:t>
      </w:r>
      <w:r w:rsidR="00642191" w:rsidRPr="00EE50FB">
        <w:rPr>
          <w:noProof/>
        </w:rPr>
        <w:t>Drejtoratit për investime dhe zhvillim</w:t>
      </w:r>
      <w:r w:rsidRPr="00EE50FB">
        <w:rPr>
          <w:noProof/>
        </w:rPr>
        <w:t>.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Kontrata nga paragrafi 1. i këtij neni përmban si vijon: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shënimet mbi lokacionin gjegjësisht zonën në të cilën planifikohet përgaditja (rregullimin) e tokës ndërtimore,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shënimet nga dokumenti planor dhe kushtet teknike për ndërtim,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shënimet nga programi i rregullimit të tokës ndërtimore,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kufijt e lokacionit që pregaditen gjegjësisht paisen me listën e parcelave kadastrale,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dinamikën dhe afatin e ndërtimit,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lastRenderedPageBreak/>
        <w:t xml:space="preserve">obligimin e </w:t>
      </w:r>
      <w:r w:rsidR="00642191" w:rsidRPr="00EE50FB">
        <w:rPr>
          <w:noProof/>
        </w:rPr>
        <w:t>Drejtoratit për investime dhe zhvillim</w:t>
      </w:r>
      <w:r w:rsidRPr="00EE50FB">
        <w:rPr>
          <w:noProof/>
        </w:rPr>
        <w:t xml:space="preserve">, të siguron mbikqyrjen profesionale gjatë kryerjes së punëve,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caktimin e pjesëmarrjes së çdo pale të kontraktuar në sigurimin, gjegjësisht finansimin e hartimit të dokumentacionit teknik dhe kontrollimit profesional të dokumentacionit teknik, kryerjen e punëve dhe zgjedhjen e kryersit të punëve, si dhe shpenzimet tjera lidhur me rregullimin e tokës ndërtimore duke përfshirë lartësinë dhe afatet e sigurimit të mjeteve finansiare dhe mjeteve tjera,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caktimi i objekteve që ndërtohen dhe të cilat do të kalojnë në pronë të njësisë së vetadministrimit lokal,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caktimi i shumës së pjesëmarrjes së personave nga paragrafi 1. i këtij neni në finansimin e përgaditjes, gjegjësisht rregullimin e tokës ndërtimore për të cilën do të jetë e reduktuar shuma e kontributit për rregullimin e tokës ndërtimore,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vlera e tokës të cilën investitori ia tjetërson njësisë së vetadministrimit lokal për ndërtimin e objekteve të infrastrukturës, </w:t>
      </w:r>
    </w:p>
    <w:p w:rsidR="00B65FEC" w:rsidRPr="00EE50FB" w:rsidRDefault="00B65FEC" w:rsidP="00B65FEC">
      <w:pPr>
        <w:numPr>
          <w:ilvl w:val="0"/>
          <w:numId w:val="1"/>
        </w:numPr>
        <w:shd w:val="clear" w:color="auto" w:fill="FFFFFF"/>
        <w:jc w:val="both"/>
        <w:rPr>
          <w:noProof/>
        </w:rPr>
      </w:pPr>
      <w:r w:rsidRPr="00EE50FB">
        <w:rPr>
          <w:noProof/>
        </w:rPr>
        <w:t>mjetet e sigurimit për plotësimin e obligimeve të palëve të kontraktuara.</w:t>
      </w:r>
    </w:p>
    <w:p w:rsidR="00B65FEC" w:rsidRPr="00EE50FB" w:rsidRDefault="00B65FEC" w:rsidP="008A6B5A">
      <w:pPr>
        <w:outlineLvl w:val="0"/>
        <w:rPr>
          <w:b/>
          <w:bCs/>
          <w:noProof/>
        </w:rPr>
      </w:pP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bCs/>
          <w:noProof/>
        </w:rPr>
        <w:t>Члан-</w:t>
      </w:r>
      <w:r w:rsidRPr="00EE50FB">
        <w:rPr>
          <w:b/>
          <w:noProof/>
        </w:rPr>
        <w:t xml:space="preserve"> Neni 21.</w:t>
      </w:r>
    </w:p>
    <w:p w:rsidR="00B65FEC" w:rsidRPr="00EE50FB" w:rsidRDefault="00B65FEC" w:rsidP="00B65FEC">
      <w:pPr>
        <w:jc w:val="center"/>
        <w:outlineLvl w:val="0"/>
        <w:rPr>
          <w:b/>
          <w:bCs/>
          <w:noProof/>
        </w:rPr>
      </w:pPr>
    </w:p>
    <w:p w:rsidR="00B65FEC" w:rsidRPr="00EE50FB" w:rsidRDefault="00B65FEC" w:rsidP="00B65FEC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>Инвеститори који су са општином Бујановац закључили уговор о накнади за уређивање грађевинског земљишта за изградњу објеката, по раније важећим законима и општим актима јединице локалне самоуправе, по којима накнада није плаћена у целости, имају право на закључивање анекса уговора и обрачун доприноса у складу са овом Одлуком.</w:t>
      </w: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Investitorët të cilët me Komunën e Bujanocit kanë nënshkruar Kontratën mbi kompenzimin për rregullimin e tokës ndërtimore për ndërtimin e objekteve, sipas ligjeve të mëparshme në fuqi dhe akteve të përgjithshme të njësisë së vetadministrimit lokal, sipas të cilave kompenzimi nuk është paguar në tërësi, kanë të drejtë në nënshkrimin e aneksit të Kontratës dhe llogaritjen e kontributit në pajtim me këtë Vendim. 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t>Члан -Neni 22.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Инвеститор који је уговорио накнаду за уређивање грађевинског земљишта по раније важећим прописима има право на раскид уговора и повраћај уплаћених средстава у  номиналном износу, уколико од надлежне управе достави доказ да није издата потврда о пријему документације, односно грађевинска дозвола, односно да инвеститор не може остварити право изградње објекта на основу издате документације као и да није започета изградња објекта. </w:t>
      </w: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Investitori i cili ka kontraktuar kompenzimin për rregullimin e tokës ndërtimore sipas dispozitave të mëparshme në fuqi ka të drejtë të shkëput Kontratën dhe kthej mjetet e paguara në shumë nominale, në rast se nga organi kompetente paraqet dëshmin se nuk është dhënë vërtetimi për pranimin e dokumentacionit, gjegjësisht leja e ndërtimit, gjegjësisht se investitori nuk mund të realizon të drejtën e ndërtimit të objektit në bazë të dokumentacionit të dhënë si dhe se nuk është filluar ndërtimi i objektit. </w:t>
      </w:r>
    </w:p>
    <w:p w:rsidR="00B65FEC" w:rsidRDefault="00B65FEC" w:rsidP="00C139D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39D4" w:rsidRDefault="00A439D4" w:rsidP="00C139D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39D4" w:rsidRDefault="00A439D4" w:rsidP="00C139D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39D4" w:rsidRPr="00EE50FB" w:rsidRDefault="00A439D4" w:rsidP="00C139D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lastRenderedPageBreak/>
        <w:t>Члан -Neni 23.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5FEC" w:rsidRPr="00EE50FB" w:rsidRDefault="00B65FEC" w:rsidP="00E35A95">
      <w:pPr>
        <w:autoSpaceDE w:val="0"/>
        <w:autoSpaceDN w:val="0"/>
        <w:adjustRightInd w:val="0"/>
        <w:ind w:firstLine="720"/>
        <w:jc w:val="both"/>
        <w:rPr>
          <w:noProof/>
        </w:rPr>
      </w:pPr>
      <w:r w:rsidRPr="00EE50FB">
        <w:rPr>
          <w:noProof/>
        </w:rPr>
        <w:t xml:space="preserve">Инвеститори који су закључили уговоре са </w:t>
      </w:r>
      <w:r w:rsidR="00C7748D" w:rsidRPr="00EE50FB">
        <w:rPr>
          <w:noProof/>
        </w:rPr>
        <w:t>Одељењom за инвестиције и развој</w:t>
      </w:r>
      <w:r w:rsidRPr="00EE50FB">
        <w:rPr>
          <w:noProof/>
        </w:rPr>
        <w:t xml:space="preserve"> о регулисању накнаде за уређивање грађевинског земљишта или исте закључе до ступања на снагу ове Одлуке у обавези су да плаћају накнаду за уређивање грађевинског земљишта у свему у складу са закљученим уговором.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ind w:firstLine="720"/>
        <w:jc w:val="both"/>
        <w:rPr>
          <w:noProof/>
        </w:rPr>
      </w:pPr>
      <w:r w:rsidRPr="00EE50FB">
        <w:rPr>
          <w:noProof/>
        </w:rPr>
        <w:t xml:space="preserve">Investitorët të cilët kanë nënshkruar Kontratën me </w:t>
      </w:r>
      <w:r w:rsidR="00C7748D" w:rsidRPr="00EE50FB">
        <w:rPr>
          <w:noProof/>
        </w:rPr>
        <w:t>Drejtoratin për investime dhe zhvillim</w:t>
      </w:r>
      <w:r w:rsidRPr="00EE50FB">
        <w:rPr>
          <w:noProof/>
        </w:rPr>
        <w:t xml:space="preserve"> mbi rregullimin e kompenzimit për rregullimin e tokës ndërtimore ose të njejtën e nënshkruajn deri me hyrjen në fuqi të këtij Vendimi, janë të obliguar të paguajnë kompenzimin për rregullimin e tokës ndërtimore në tërësi në pajtim me Kontratën e nënshkruar. 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t>Члан- Neni 24.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       Допринос за уређивање грађевинског земљишта је приход буджета Општине Бујановац и уплаћује се на рачун број: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50FB">
        <w:rPr>
          <w:rFonts w:ascii="Times New Roman" w:hAnsi="Times New Roman" w:cs="Times New Roman"/>
          <w:noProof/>
          <w:sz w:val="24"/>
          <w:szCs w:val="24"/>
        </w:rPr>
        <w:t xml:space="preserve">            Kontributi për rregullimin e tokës ndërtimore i takon të hyrave të buxhetit të Komunës së Bujanocit dhe paguhet në llogarin rrjedhëse nr: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50FB">
        <w:rPr>
          <w:rFonts w:ascii="Times New Roman" w:hAnsi="Times New Roman" w:cs="Times New Roman"/>
          <w:b/>
          <w:noProof/>
          <w:sz w:val="24"/>
          <w:szCs w:val="24"/>
        </w:rPr>
        <w:t xml:space="preserve">840-742253843-87 </w:t>
      </w:r>
    </w:p>
    <w:p w:rsidR="00C47318" w:rsidRDefault="00C47318" w:rsidP="008A6B5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4687" w:rsidRPr="00EE50FB" w:rsidRDefault="00384687" w:rsidP="008A6B5A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231B" w:rsidRPr="00EE50FB" w:rsidRDefault="008D5759" w:rsidP="00AF231B">
      <w:pPr>
        <w:rPr>
          <w:b/>
          <w:noProof/>
        </w:rPr>
      </w:pPr>
      <w:r w:rsidRPr="00EE50FB">
        <w:rPr>
          <w:b/>
          <w:noProof/>
        </w:rPr>
        <w:t>VI</w:t>
      </w:r>
      <w:r w:rsidR="00AF231B" w:rsidRPr="00EE50FB">
        <w:rPr>
          <w:b/>
          <w:noProof/>
        </w:rPr>
        <w:t xml:space="preserve">.   КРИТЕРИЈУМИ И МЕРИЛА ЗА УТВРЂИВАЊУ ЗАКУПНИНЕ </w:t>
      </w:r>
    </w:p>
    <w:p w:rsidR="00AF231B" w:rsidRPr="00EE50FB" w:rsidRDefault="008905EA" w:rsidP="00AF231B">
      <w:pPr>
        <w:rPr>
          <w:b/>
          <w:noProof/>
        </w:rPr>
      </w:pPr>
      <w:r w:rsidRPr="00EE50FB">
        <w:rPr>
          <w:b/>
          <w:noProof/>
        </w:rPr>
        <w:t xml:space="preserve">        </w:t>
      </w:r>
      <w:r w:rsidR="00C47318" w:rsidRPr="00EE50FB">
        <w:rPr>
          <w:b/>
          <w:noProof/>
        </w:rPr>
        <w:t xml:space="preserve"> </w:t>
      </w:r>
      <w:r w:rsidR="00AF231B" w:rsidRPr="00EE50FB">
        <w:rPr>
          <w:b/>
          <w:noProof/>
        </w:rPr>
        <w:t>ГРАЂЕВИНСКОГ ЗЕМЉИШТА</w:t>
      </w:r>
    </w:p>
    <w:p w:rsidR="00C47318" w:rsidRPr="00EE50FB" w:rsidRDefault="008D5759" w:rsidP="00AF231B">
      <w:pPr>
        <w:rPr>
          <w:b/>
          <w:noProof/>
        </w:rPr>
      </w:pPr>
      <w:r w:rsidRPr="00EE50FB">
        <w:rPr>
          <w:b/>
          <w:noProof/>
        </w:rPr>
        <w:t>VI</w:t>
      </w:r>
      <w:r w:rsidR="00C47318" w:rsidRPr="00EE50FB">
        <w:rPr>
          <w:b/>
          <w:noProof/>
        </w:rPr>
        <w:t>.   KRITERET DHE MASAT PËR PËRCAKTIMIN E QIRASË PËR  TOKËN</w:t>
      </w:r>
    </w:p>
    <w:p w:rsidR="00AF231B" w:rsidRPr="00384687" w:rsidRDefault="00C47318" w:rsidP="008A6B5A">
      <w:pPr>
        <w:rPr>
          <w:b/>
          <w:noProof/>
        </w:rPr>
      </w:pPr>
      <w:r w:rsidRPr="00EE50FB">
        <w:rPr>
          <w:b/>
          <w:noProof/>
        </w:rPr>
        <w:t xml:space="preserve">          NDËRTIMORE</w:t>
      </w:r>
    </w:p>
    <w:p w:rsidR="00130A7B" w:rsidRPr="00EE50FB" w:rsidRDefault="00130A7B" w:rsidP="00130A7B">
      <w:pPr>
        <w:spacing w:before="240"/>
        <w:jc w:val="center"/>
        <w:rPr>
          <w:b/>
          <w:bCs/>
          <w:i/>
          <w:noProof/>
        </w:rPr>
      </w:pPr>
      <w:r w:rsidRPr="00EE50FB">
        <w:rPr>
          <w:b/>
          <w:bCs/>
          <w:noProof/>
        </w:rPr>
        <w:t xml:space="preserve">Члан - Neni </w:t>
      </w:r>
      <w:r w:rsidR="00314623" w:rsidRPr="00EE50FB">
        <w:rPr>
          <w:b/>
          <w:bCs/>
          <w:noProof/>
        </w:rPr>
        <w:t>25</w:t>
      </w:r>
      <w:r w:rsidRPr="00EE50FB">
        <w:rPr>
          <w:b/>
          <w:bCs/>
          <w:noProof/>
        </w:rPr>
        <w:t>.</w:t>
      </w:r>
    </w:p>
    <w:p w:rsidR="00130A7B" w:rsidRPr="00EE50FB" w:rsidRDefault="00130A7B" w:rsidP="00130A7B">
      <w:pPr>
        <w:ind w:firstLine="708"/>
        <w:jc w:val="both"/>
        <w:rPr>
          <w:bCs/>
          <w:noProof/>
        </w:rPr>
      </w:pPr>
      <w:r w:rsidRPr="00EE50FB">
        <w:rPr>
          <w:noProof/>
        </w:rPr>
        <w:t>Висина цене или закупнине за градско грађевинско земљиште у јавној својини, обрачунава се према зонама утврђеним овом одлуком, при чему се у оквиру сваке зоне утврђује висина цене или закупнине (зависно од тога да ли се земљиште отуђује или се даје у закуп) за различите намене.</w:t>
      </w:r>
      <w:r w:rsidRPr="00EE50FB">
        <w:rPr>
          <w:bCs/>
          <w:noProof/>
        </w:rPr>
        <w:t xml:space="preserve"> </w:t>
      </w:r>
    </w:p>
    <w:p w:rsidR="00130A7B" w:rsidRPr="00EE50FB" w:rsidRDefault="00D469A4" w:rsidP="00130A7B">
      <w:pPr>
        <w:ind w:firstLine="708"/>
        <w:jc w:val="both"/>
        <w:rPr>
          <w:bCs/>
          <w:noProof/>
        </w:rPr>
      </w:pPr>
      <w:r w:rsidRPr="00EE50FB">
        <w:rPr>
          <w:bCs/>
          <w:noProof/>
        </w:rPr>
        <w:t>Lartësia e qmimit ose s</w:t>
      </w:r>
      <w:r w:rsidR="00130A7B" w:rsidRPr="00EE50FB">
        <w:rPr>
          <w:bCs/>
          <w:noProof/>
        </w:rPr>
        <w:t>hkalla e qirasë për tokën</w:t>
      </w:r>
      <w:r w:rsidRPr="00EE50FB">
        <w:rPr>
          <w:bCs/>
          <w:noProof/>
        </w:rPr>
        <w:t xml:space="preserve"> urbane</w:t>
      </w:r>
      <w:r w:rsidR="00130A7B" w:rsidRPr="00EE50FB">
        <w:rPr>
          <w:bCs/>
          <w:noProof/>
        </w:rPr>
        <w:t xml:space="preserve"> ndërtimore</w:t>
      </w:r>
      <w:r w:rsidRPr="00EE50FB">
        <w:rPr>
          <w:bCs/>
          <w:noProof/>
        </w:rPr>
        <w:t xml:space="preserve"> në pronësi publike</w:t>
      </w:r>
      <w:r w:rsidR="00130A7B" w:rsidRPr="00EE50FB">
        <w:rPr>
          <w:bCs/>
          <w:noProof/>
        </w:rPr>
        <w:t>, llogaritet sipas zonave të përcaktuara me këtë Vendim</w:t>
      </w:r>
      <w:r w:rsidRPr="00EE50FB">
        <w:rPr>
          <w:bCs/>
          <w:noProof/>
        </w:rPr>
        <w:t>,</w:t>
      </w:r>
      <w:r w:rsidR="00130A7B" w:rsidRPr="00EE50FB">
        <w:rPr>
          <w:bCs/>
          <w:noProof/>
        </w:rPr>
        <w:t xml:space="preserve"> me çrast</w:t>
      </w:r>
      <w:r w:rsidRPr="00EE50FB">
        <w:rPr>
          <w:bCs/>
          <w:noProof/>
        </w:rPr>
        <w:t xml:space="preserve"> në kuadër të secilës zonë përcaktohet lartësia e qmimit ose</w:t>
      </w:r>
      <w:r w:rsidR="00130A7B" w:rsidRPr="00EE50FB">
        <w:rPr>
          <w:bCs/>
          <w:noProof/>
        </w:rPr>
        <w:t xml:space="preserve">  shkalla e qirasë</w:t>
      </w:r>
      <w:r w:rsidRPr="00EE50FB">
        <w:rPr>
          <w:bCs/>
          <w:noProof/>
        </w:rPr>
        <w:t>(mvarësishtë nga ajo se toka a ipet në pronësi apo ipet me qira)</w:t>
      </w:r>
      <w:r w:rsidR="00130A7B" w:rsidRPr="00EE50FB">
        <w:rPr>
          <w:bCs/>
          <w:noProof/>
        </w:rPr>
        <w:t xml:space="preserve">  për destinime të ndryshme.</w:t>
      </w:r>
    </w:p>
    <w:p w:rsidR="00130A7B" w:rsidRPr="00EE50FB" w:rsidRDefault="00130A7B" w:rsidP="00130A7B">
      <w:pPr>
        <w:spacing w:before="240"/>
        <w:ind w:firstLine="545"/>
        <w:jc w:val="both"/>
        <w:rPr>
          <w:noProof/>
        </w:rPr>
      </w:pPr>
      <w:r w:rsidRPr="00EE50FB">
        <w:rPr>
          <w:noProof/>
        </w:rPr>
        <w:t xml:space="preserve">  Закупнина се обрачунава у једнократком нето износу по м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земљишта. Порез на промет сноси закупац.</w:t>
      </w:r>
    </w:p>
    <w:p w:rsidR="00130A7B" w:rsidRPr="00EE50FB" w:rsidRDefault="00130A7B" w:rsidP="00130A7B">
      <w:pPr>
        <w:ind w:firstLine="709"/>
        <w:jc w:val="both"/>
        <w:rPr>
          <w:noProof/>
        </w:rPr>
      </w:pPr>
      <w:r w:rsidRPr="00EE50FB">
        <w:rPr>
          <w:noProof/>
        </w:rPr>
        <w:t>Qiraja llogaritet  në shumën neto të menjëhershme  për m²  të tokës. Tatimin në qarkullim e paguan qiramarrësi.</w:t>
      </w:r>
    </w:p>
    <w:p w:rsidR="00130A7B" w:rsidRPr="00EE50FB" w:rsidRDefault="00130A7B" w:rsidP="00130A7B">
      <w:pPr>
        <w:spacing w:before="240"/>
        <w:ind w:firstLine="545"/>
        <w:jc w:val="both"/>
        <w:rPr>
          <w:noProof/>
        </w:rPr>
      </w:pPr>
      <w:r w:rsidRPr="00EE50FB">
        <w:rPr>
          <w:noProof/>
        </w:rPr>
        <w:t>Закупнина износи:</w:t>
      </w:r>
      <w:r w:rsidRPr="00EE50FB">
        <w:rPr>
          <w:noProof/>
        </w:rPr>
        <w:tab/>
      </w:r>
    </w:p>
    <w:p w:rsidR="00130A7B" w:rsidRPr="00EE50FB" w:rsidRDefault="00130A7B" w:rsidP="00130A7B">
      <w:pPr>
        <w:ind w:firstLine="545"/>
        <w:jc w:val="both"/>
        <w:rPr>
          <w:noProof/>
        </w:rPr>
      </w:pPr>
      <w:r w:rsidRPr="00EE50FB">
        <w:rPr>
          <w:noProof/>
        </w:rPr>
        <w:t>Qiraja ka këtë shumë:</w:t>
      </w:r>
    </w:p>
    <w:tbl>
      <w:tblPr>
        <w:tblpPr w:leftFromText="180" w:rightFromText="180" w:vertAnchor="text" w:horzAnchor="margin" w:tblpY="86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4224"/>
        <w:gridCol w:w="1176"/>
        <w:gridCol w:w="1176"/>
        <w:gridCol w:w="1176"/>
      </w:tblGrid>
      <w:tr w:rsidR="00130A7B" w:rsidRPr="00EE50FB" w:rsidTr="00FE13C0">
        <w:tc>
          <w:tcPr>
            <w:tcW w:w="987" w:type="dxa"/>
            <w:vAlign w:val="center"/>
          </w:tcPr>
          <w:p w:rsidR="00130A7B" w:rsidRPr="00EE50FB" w:rsidRDefault="00130A7B" w:rsidP="005D35EF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Р.Бр.</w:t>
            </w:r>
          </w:p>
          <w:p w:rsidR="00130A7B" w:rsidRPr="00EE50FB" w:rsidRDefault="00130A7B" w:rsidP="005D35EF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Nr. Ren.</w:t>
            </w:r>
          </w:p>
        </w:tc>
        <w:tc>
          <w:tcPr>
            <w:tcW w:w="4224" w:type="dxa"/>
            <w:vAlign w:val="center"/>
          </w:tcPr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 xml:space="preserve">Назив земљишта објекта </w:t>
            </w:r>
          </w:p>
          <w:p w:rsidR="00130A7B" w:rsidRPr="00EE50FB" w:rsidRDefault="00130A7B" w:rsidP="005D35EF">
            <w:pPr>
              <w:jc w:val="center"/>
              <w:rPr>
                <w:b/>
                <w:i/>
                <w:noProof/>
              </w:rPr>
            </w:pPr>
            <w:r w:rsidRPr="00EE50FB">
              <w:rPr>
                <w:noProof/>
              </w:rPr>
              <w:t>Emërtimi i tokës së objektit</w:t>
            </w:r>
          </w:p>
        </w:tc>
        <w:tc>
          <w:tcPr>
            <w:tcW w:w="1176" w:type="dxa"/>
            <w:vAlign w:val="center"/>
          </w:tcPr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</w:t>
            </w:r>
          </w:p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</w:t>
            </w:r>
          </w:p>
        </w:tc>
        <w:tc>
          <w:tcPr>
            <w:tcW w:w="1176" w:type="dxa"/>
            <w:vAlign w:val="center"/>
          </w:tcPr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II</w:t>
            </w:r>
          </w:p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II</w:t>
            </w:r>
          </w:p>
        </w:tc>
        <w:tc>
          <w:tcPr>
            <w:tcW w:w="1176" w:type="dxa"/>
            <w:vAlign w:val="center"/>
          </w:tcPr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III</w:t>
            </w:r>
          </w:p>
          <w:p w:rsidR="00130A7B" w:rsidRPr="00EE50FB" w:rsidRDefault="00130A7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III</w:t>
            </w:r>
          </w:p>
        </w:tc>
      </w:tr>
      <w:tr w:rsidR="009B3F6B" w:rsidRPr="00EE50FB" w:rsidTr="00FE13C0">
        <w:trPr>
          <w:trHeight w:val="1104"/>
        </w:trPr>
        <w:tc>
          <w:tcPr>
            <w:tcW w:w="987" w:type="dxa"/>
          </w:tcPr>
          <w:p w:rsidR="009B3F6B" w:rsidRPr="00EE50FB" w:rsidRDefault="009B3F6B" w:rsidP="005D35EF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lastRenderedPageBreak/>
              <w:t>1.</w:t>
            </w:r>
          </w:p>
        </w:tc>
        <w:tc>
          <w:tcPr>
            <w:tcW w:w="4224" w:type="dxa"/>
          </w:tcPr>
          <w:p w:rsidR="009B3F6B" w:rsidRPr="00EE50FB" w:rsidRDefault="009B3F6B" w:rsidP="005D35EF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За изградњу ојекта у својини</w:t>
            </w:r>
          </w:p>
          <w:p w:rsidR="009B3F6B" w:rsidRPr="00EE50FB" w:rsidRDefault="009B3F6B" w:rsidP="005D35EF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физичких и правних лица</w:t>
            </w:r>
          </w:p>
          <w:p w:rsidR="009B3F6B" w:rsidRPr="00EE50FB" w:rsidRDefault="009B3F6B" w:rsidP="005D35EF">
            <w:pPr>
              <w:jc w:val="both"/>
              <w:rPr>
                <w:i/>
                <w:noProof/>
              </w:rPr>
            </w:pPr>
            <w:r w:rsidRPr="00EE50FB">
              <w:rPr>
                <w:noProof/>
              </w:rPr>
              <w:t>Për ndërtimin e objektit në pronësi të personave fizik dhe juridik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5D35EF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  <w:r w:rsidR="00651E5C">
              <w:rPr>
                <w:noProof/>
              </w:rPr>
              <w:t>5</w:t>
            </w:r>
            <w:r w:rsidR="009B3F6B" w:rsidRPr="00EE50FB">
              <w:rPr>
                <w:noProof/>
              </w:rPr>
              <w:t>00,00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5D35EF">
            <w:pPr>
              <w:jc w:val="center"/>
              <w:rPr>
                <w:noProof/>
              </w:rPr>
            </w:pPr>
            <w:r>
              <w:rPr>
                <w:noProof/>
              </w:rPr>
              <w:t>2.0</w:t>
            </w:r>
            <w:r w:rsidR="009C7650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5D35EF">
            <w:pPr>
              <w:jc w:val="center"/>
              <w:rPr>
                <w:noProof/>
              </w:rPr>
            </w:pPr>
            <w:r>
              <w:rPr>
                <w:noProof/>
              </w:rPr>
              <w:t>1.9</w:t>
            </w:r>
            <w:r w:rsidR="009B3F6B" w:rsidRPr="00EE50FB">
              <w:rPr>
                <w:noProof/>
              </w:rPr>
              <w:t>00,00</w:t>
            </w:r>
          </w:p>
        </w:tc>
      </w:tr>
      <w:tr w:rsidR="009B3F6B" w:rsidRPr="00EE50FB" w:rsidTr="00FE13C0">
        <w:trPr>
          <w:trHeight w:val="1656"/>
        </w:trPr>
        <w:tc>
          <w:tcPr>
            <w:tcW w:w="987" w:type="dxa"/>
          </w:tcPr>
          <w:p w:rsidR="009B3F6B" w:rsidRPr="00EE50FB" w:rsidRDefault="009B3F6B" w:rsidP="006C5FF3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br w:type="page"/>
              <w:t>2.</w:t>
            </w:r>
          </w:p>
        </w:tc>
        <w:tc>
          <w:tcPr>
            <w:tcW w:w="4224" w:type="dxa"/>
          </w:tcPr>
          <w:p w:rsidR="009B3F6B" w:rsidRPr="00EE50FB" w:rsidRDefault="009B3F6B" w:rsidP="006C5FF3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 xml:space="preserve">За службеност постављања електро, </w:t>
            </w:r>
          </w:p>
          <w:p w:rsidR="009B3F6B" w:rsidRPr="00EE50FB" w:rsidRDefault="009B3F6B" w:rsidP="006C5FF3">
            <w:pPr>
              <w:jc w:val="both"/>
              <w:rPr>
                <w:noProof/>
              </w:rPr>
            </w:pPr>
            <w:r w:rsidRPr="00EE50FB">
              <w:rPr>
                <w:noProof/>
              </w:rPr>
              <w:t>канализационе, водоводне или ПТТ мреже</w:t>
            </w:r>
          </w:p>
          <w:p w:rsidR="009B3F6B" w:rsidRPr="00EE50FB" w:rsidRDefault="009B3F6B" w:rsidP="006C5FF3">
            <w:pPr>
              <w:jc w:val="both"/>
              <w:rPr>
                <w:i/>
                <w:noProof/>
              </w:rPr>
            </w:pPr>
            <w:r w:rsidRPr="00EE50FB">
              <w:rPr>
                <w:noProof/>
              </w:rPr>
              <w:t>Për servitutet dhe vendosjen e rrjetit të kanalizimit, elektrodistribicionit, ujësjellësit dhe PTT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6C5FF3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9C7650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6C5FF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="009C7650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  <w:tc>
          <w:tcPr>
            <w:tcW w:w="1176" w:type="dxa"/>
            <w:vAlign w:val="center"/>
          </w:tcPr>
          <w:p w:rsidR="009B3F6B" w:rsidRPr="00EE50FB" w:rsidRDefault="00E75023" w:rsidP="006C5FF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9C7650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</w:tr>
    </w:tbl>
    <w:p w:rsidR="00130A7B" w:rsidRPr="00EE50FB" w:rsidRDefault="00130A7B" w:rsidP="00130A7B">
      <w:pPr>
        <w:pStyle w:val="BodyTextIndent3"/>
        <w:ind w:left="0"/>
        <w:rPr>
          <w:i/>
          <w:noProof/>
          <w:szCs w:val="22"/>
        </w:rPr>
      </w:pPr>
    </w:p>
    <w:p w:rsidR="00130A7B" w:rsidRPr="00EE50FB" w:rsidRDefault="00130A7B" w:rsidP="00130A7B">
      <w:pPr>
        <w:pStyle w:val="BodyTextIndent3"/>
        <w:ind w:left="0" w:firstLine="720"/>
        <w:rPr>
          <w:noProof/>
          <w:sz w:val="24"/>
        </w:rPr>
      </w:pPr>
      <w:r w:rsidRPr="00EE50FB">
        <w:rPr>
          <w:noProof/>
          <w:sz w:val="24"/>
        </w:rPr>
        <w:t xml:space="preserve">Закупнина за постављање привремених монтажних објеката на јавним површинама на територију општине Бујановац, наплачује се  по м2 месечно </w:t>
      </w:r>
    </w:p>
    <w:p w:rsidR="006C2521" w:rsidRPr="00EE50FB" w:rsidRDefault="00130A7B" w:rsidP="006C2521">
      <w:pPr>
        <w:pStyle w:val="BodyTextIndent3"/>
        <w:ind w:left="0" w:firstLine="720"/>
        <w:rPr>
          <w:noProof/>
        </w:rPr>
      </w:pPr>
      <w:r w:rsidRPr="00EE50FB">
        <w:rPr>
          <w:noProof/>
          <w:sz w:val="24"/>
        </w:rPr>
        <w:t xml:space="preserve">Qiraja për vendosjen e objekteve të përkohshme montuese në sipërfaqet publike në teritorin e komunës së Bujanocit, paguhet në muaj për m2. </w:t>
      </w:r>
    </w:p>
    <w:p w:rsidR="00130A7B" w:rsidRPr="00EE50FB" w:rsidRDefault="00130A7B" w:rsidP="006C2521">
      <w:pPr>
        <w:pStyle w:val="BodyTextIndent3"/>
        <w:ind w:left="0" w:firstLine="720"/>
        <w:rPr>
          <w:noProof/>
          <w:sz w:val="24"/>
        </w:rPr>
      </w:pPr>
      <w:r w:rsidRPr="00EE50FB">
        <w:rPr>
          <w:noProof/>
        </w:rPr>
        <w:t>За постављање монтажних објеката месечно по м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бруто површине објекта: </w:t>
      </w:r>
    </w:p>
    <w:p w:rsidR="00130A7B" w:rsidRPr="00EE50FB" w:rsidRDefault="00130A7B" w:rsidP="00130A7B">
      <w:pPr>
        <w:ind w:firstLine="720"/>
        <w:jc w:val="both"/>
        <w:rPr>
          <w:noProof/>
        </w:rPr>
      </w:pPr>
      <w:r w:rsidRPr="00EE50FB">
        <w:rPr>
          <w:noProof/>
        </w:rPr>
        <w:t xml:space="preserve">Për vendosjen e objekteve montuese pagesa mujore për m2 e sipërfaqes bruto të objektit: </w:t>
      </w:r>
    </w:p>
    <w:tbl>
      <w:tblPr>
        <w:tblW w:w="46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639"/>
        <w:gridCol w:w="1306"/>
        <w:gridCol w:w="1306"/>
        <w:gridCol w:w="1306"/>
      </w:tblGrid>
      <w:tr w:rsidR="00130A7B" w:rsidRPr="00EE50FB" w:rsidTr="005F3A12">
        <w:trPr>
          <w:trHeight w:val="602"/>
          <w:jc w:val="center"/>
        </w:trPr>
        <w:tc>
          <w:tcPr>
            <w:tcW w:w="411" w:type="pct"/>
            <w:vAlign w:val="center"/>
          </w:tcPr>
          <w:p w:rsidR="00130A7B" w:rsidRPr="00EE50FB" w:rsidRDefault="00130A7B" w:rsidP="005F3A12">
            <w:pPr>
              <w:jc w:val="center"/>
              <w:rPr>
                <w:noProof/>
              </w:rPr>
            </w:pPr>
          </w:p>
        </w:tc>
        <w:tc>
          <w:tcPr>
            <w:tcW w:w="2210" w:type="pct"/>
            <w:vAlign w:val="center"/>
          </w:tcPr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Опис- Përshkrimi</w:t>
            </w:r>
          </w:p>
        </w:tc>
        <w:tc>
          <w:tcPr>
            <w:tcW w:w="793" w:type="pct"/>
            <w:vAlign w:val="center"/>
          </w:tcPr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</w:t>
            </w:r>
          </w:p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</w:t>
            </w:r>
          </w:p>
        </w:tc>
        <w:tc>
          <w:tcPr>
            <w:tcW w:w="793" w:type="pct"/>
            <w:vAlign w:val="center"/>
          </w:tcPr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II</w:t>
            </w:r>
          </w:p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II</w:t>
            </w:r>
          </w:p>
        </w:tc>
        <w:tc>
          <w:tcPr>
            <w:tcW w:w="793" w:type="pct"/>
            <w:vAlign w:val="center"/>
          </w:tcPr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Зона III</w:t>
            </w:r>
          </w:p>
          <w:p w:rsidR="00130A7B" w:rsidRPr="00EE50FB" w:rsidRDefault="00130A7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Zona III</w:t>
            </w:r>
          </w:p>
        </w:tc>
      </w:tr>
      <w:tr w:rsidR="009B3F6B" w:rsidRPr="00EE50FB" w:rsidTr="00BD3E14">
        <w:trPr>
          <w:trHeight w:val="2484"/>
          <w:jc w:val="center"/>
        </w:trPr>
        <w:tc>
          <w:tcPr>
            <w:tcW w:w="411" w:type="pct"/>
            <w:vAlign w:val="center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1</w:t>
            </w:r>
          </w:p>
        </w:tc>
        <w:tc>
          <w:tcPr>
            <w:tcW w:w="2210" w:type="pct"/>
            <w:vAlign w:val="center"/>
          </w:tcPr>
          <w:p w:rsidR="009B3F6B" w:rsidRPr="00EE50FB" w:rsidRDefault="00113DD8" w:rsidP="005F3A12">
            <w:pPr>
              <w:rPr>
                <w:noProof/>
              </w:rPr>
            </w:pPr>
            <w:r w:rsidRPr="00EE50FB">
              <w:rPr>
                <w:noProof/>
              </w:rPr>
              <w:t>Почетна цена закупнине грађевинског земљишта за постављање монтажних барака износи месећно по м2 бруто површине</w:t>
            </w:r>
          </w:p>
          <w:p w:rsidR="009B3F6B" w:rsidRPr="00EE50FB" w:rsidRDefault="00113DD8" w:rsidP="005F3A12">
            <w:pPr>
              <w:rPr>
                <w:noProof/>
              </w:rPr>
            </w:pPr>
            <w:r w:rsidRPr="00EE50FB">
              <w:rPr>
                <w:noProof/>
              </w:rPr>
              <w:t>Qmimi fillestar i qerasë për tokën ndërtimore për vendosjen e barakave montuese shuma mujore për m2 të sipërfaqes bruto</w:t>
            </w:r>
          </w:p>
        </w:tc>
        <w:tc>
          <w:tcPr>
            <w:tcW w:w="793" w:type="pct"/>
            <w:vAlign w:val="center"/>
          </w:tcPr>
          <w:p w:rsidR="009B3F6B" w:rsidRPr="00EE50FB" w:rsidRDefault="00461F29" w:rsidP="00E75023">
            <w:pPr>
              <w:jc w:val="center"/>
              <w:rPr>
                <w:noProof/>
              </w:rPr>
            </w:pPr>
            <w:r>
              <w:rPr>
                <w:noProof/>
              </w:rPr>
              <w:t>1.440</w:t>
            </w:r>
            <w:r w:rsidR="009B3F6B" w:rsidRPr="00EE50FB">
              <w:rPr>
                <w:noProof/>
              </w:rPr>
              <w:t>,00</w:t>
            </w:r>
          </w:p>
        </w:tc>
        <w:tc>
          <w:tcPr>
            <w:tcW w:w="793" w:type="pct"/>
            <w:vAlign w:val="center"/>
          </w:tcPr>
          <w:p w:rsidR="009B3F6B" w:rsidRPr="00EE50FB" w:rsidRDefault="00461F29" w:rsidP="00113DD8">
            <w:pPr>
              <w:jc w:val="center"/>
              <w:rPr>
                <w:noProof/>
              </w:rPr>
            </w:pPr>
            <w:r>
              <w:rPr>
                <w:noProof/>
              </w:rPr>
              <w:t>108</w:t>
            </w:r>
            <w:r w:rsidR="00113DD8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,00</w:t>
            </w:r>
          </w:p>
        </w:tc>
        <w:tc>
          <w:tcPr>
            <w:tcW w:w="793" w:type="pct"/>
            <w:vAlign w:val="center"/>
          </w:tcPr>
          <w:p w:rsidR="009B3F6B" w:rsidRPr="00EE50FB" w:rsidRDefault="00461F29" w:rsidP="00113DD8">
            <w:pPr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  <w:r w:rsidR="00113DD8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,00</w:t>
            </w:r>
          </w:p>
        </w:tc>
      </w:tr>
    </w:tbl>
    <w:p w:rsidR="00130A7B" w:rsidRPr="00EE50FB" w:rsidRDefault="00130A7B" w:rsidP="00130A7B">
      <w:pPr>
        <w:spacing w:before="240"/>
        <w:ind w:firstLine="720"/>
        <w:jc w:val="both"/>
        <w:rPr>
          <w:noProof/>
        </w:rPr>
      </w:pPr>
      <w:r w:rsidRPr="00EE50FB">
        <w:rPr>
          <w:noProof/>
        </w:rPr>
        <w:t>Контролу плаћања таксе по овом тарифном броју врши комунална инспекција.</w:t>
      </w:r>
    </w:p>
    <w:p w:rsidR="00130A7B" w:rsidRPr="00EE50FB" w:rsidRDefault="00130A7B" w:rsidP="00130A7B">
      <w:pPr>
        <w:ind w:firstLine="720"/>
        <w:jc w:val="both"/>
        <w:rPr>
          <w:noProof/>
        </w:rPr>
      </w:pPr>
      <w:r w:rsidRPr="00EE50FB">
        <w:rPr>
          <w:noProof/>
        </w:rPr>
        <w:t>Kontrollin e pagesës së taksës sipas këtij numri tarifor e bënë inspeksioni komunal.</w:t>
      </w:r>
    </w:p>
    <w:p w:rsidR="00130A7B" w:rsidRPr="00EE50FB" w:rsidRDefault="00130A7B" w:rsidP="00130A7B">
      <w:pPr>
        <w:pStyle w:val="BodyTextIndent3"/>
        <w:spacing w:before="240"/>
        <w:ind w:left="0"/>
        <w:jc w:val="center"/>
        <w:rPr>
          <w:i/>
          <w:noProof/>
          <w:sz w:val="24"/>
        </w:rPr>
      </w:pPr>
      <w:r w:rsidRPr="00EE50FB">
        <w:rPr>
          <w:b/>
          <w:bCs/>
          <w:noProof/>
          <w:sz w:val="24"/>
        </w:rPr>
        <w:t>Члан - Neni</w:t>
      </w:r>
      <w:r w:rsidRPr="00EE50FB">
        <w:rPr>
          <w:b/>
          <w:bCs/>
          <w:i/>
          <w:noProof/>
          <w:sz w:val="24"/>
        </w:rPr>
        <w:t xml:space="preserve"> </w:t>
      </w:r>
      <w:r w:rsidR="00314623" w:rsidRPr="00EE50FB">
        <w:rPr>
          <w:b/>
          <w:bCs/>
          <w:noProof/>
          <w:sz w:val="24"/>
        </w:rPr>
        <w:t>26</w:t>
      </w:r>
      <w:r w:rsidRPr="00EE50FB">
        <w:rPr>
          <w:b/>
          <w:bCs/>
          <w:noProof/>
          <w:sz w:val="24"/>
        </w:rPr>
        <w:t>.</w:t>
      </w:r>
    </w:p>
    <w:p w:rsidR="00130A7B" w:rsidRPr="00EE50FB" w:rsidRDefault="00130A7B" w:rsidP="00130A7B">
      <w:pPr>
        <w:ind w:firstLine="708"/>
        <w:jc w:val="both"/>
        <w:rPr>
          <w:bCs/>
          <w:noProof/>
        </w:rPr>
      </w:pPr>
      <w:r w:rsidRPr="00EE50FB">
        <w:rPr>
          <w:bCs/>
          <w:noProof/>
        </w:rPr>
        <w:t>Закупнина не може бити нижа од ревалоризоване цене по коме је грађевинско земљиште прибављено.</w:t>
      </w:r>
    </w:p>
    <w:p w:rsidR="00130A7B" w:rsidRPr="00EE50FB" w:rsidRDefault="00130A7B" w:rsidP="00130A7B">
      <w:pPr>
        <w:ind w:firstLine="708"/>
        <w:jc w:val="both"/>
        <w:rPr>
          <w:i/>
          <w:noProof/>
        </w:rPr>
      </w:pPr>
      <w:r w:rsidRPr="00EE50FB">
        <w:rPr>
          <w:bCs/>
          <w:noProof/>
        </w:rPr>
        <w:t>Qiraja nuk mund të jetë më e ulët nga revolarizimi i çmimeve nga çmimi me të cilin është marrë toka ndërtimore.</w:t>
      </w:r>
      <w:r w:rsidRPr="00EE50FB">
        <w:rPr>
          <w:i/>
          <w:noProof/>
        </w:rPr>
        <w:t xml:space="preserve"> </w:t>
      </w:r>
    </w:p>
    <w:p w:rsidR="00130A7B" w:rsidRPr="00EE50FB" w:rsidRDefault="00130A7B" w:rsidP="00130A7B">
      <w:pPr>
        <w:spacing w:before="240"/>
        <w:jc w:val="center"/>
        <w:rPr>
          <w:b/>
          <w:bCs/>
          <w:noProof/>
        </w:rPr>
      </w:pPr>
      <w:r w:rsidRPr="00EE50FB">
        <w:rPr>
          <w:b/>
          <w:bCs/>
          <w:noProof/>
        </w:rPr>
        <w:t xml:space="preserve">Члан - Neni </w:t>
      </w:r>
      <w:r w:rsidR="00314623" w:rsidRPr="00EE50FB">
        <w:rPr>
          <w:b/>
          <w:bCs/>
          <w:noProof/>
        </w:rPr>
        <w:t>27</w:t>
      </w:r>
    </w:p>
    <w:p w:rsidR="00130A7B" w:rsidRPr="00EE50FB" w:rsidRDefault="00130A7B" w:rsidP="00130A7B">
      <w:pPr>
        <w:ind w:firstLine="708"/>
        <w:rPr>
          <w:noProof/>
        </w:rPr>
      </w:pPr>
      <w:r w:rsidRPr="00EE50FB">
        <w:rPr>
          <w:noProof/>
        </w:rPr>
        <w:t>Закупнина је приход Општине и уплаћује се на посебан рачун :</w:t>
      </w:r>
    </w:p>
    <w:p w:rsidR="00130A7B" w:rsidRPr="00EE50FB" w:rsidRDefault="00130A7B" w:rsidP="00130A7B">
      <w:pPr>
        <w:pStyle w:val="BodyText"/>
        <w:ind w:firstLine="708"/>
        <w:jc w:val="left"/>
        <w:rPr>
          <w:bCs/>
          <w:noProof/>
          <w:sz w:val="24"/>
        </w:rPr>
      </w:pPr>
      <w:r w:rsidRPr="00EE50FB">
        <w:rPr>
          <w:bCs/>
          <w:noProof/>
          <w:sz w:val="24"/>
        </w:rPr>
        <w:t>Të hyrat e qirasë janë të ardhura të komunës dhe paguhen në llogari rrjedhëse të veçantë:</w:t>
      </w:r>
    </w:p>
    <w:p w:rsidR="00130A7B" w:rsidRPr="00EE50FB" w:rsidRDefault="00130A7B" w:rsidP="00130A7B">
      <w:pPr>
        <w:pStyle w:val="BodyText"/>
        <w:spacing w:before="240"/>
        <w:jc w:val="center"/>
        <w:rPr>
          <w:noProof/>
          <w:sz w:val="24"/>
        </w:rPr>
      </w:pPr>
      <w:r w:rsidRPr="00EE50FB">
        <w:rPr>
          <w:b/>
          <w:bCs/>
          <w:noProof/>
          <w:sz w:val="24"/>
        </w:rPr>
        <w:t>840-742153843-66</w:t>
      </w:r>
      <w:r w:rsidRPr="00EE50FB">
        <w:rPr>
          <w:noProof/>
          <w:sz w:val="24"/>
        </w:rPr>
        <w:t>.</w:t>
      </w:r>
    </w:p>
    <w:p w:rsidR="00130A7B" w:rsidRPr="00EE50FB" w:rsidRDefault="00130A7B" w:rsidP="00130A7B">
      <w:pPr>
        <w:spacing w:before="240"/>
        <w:ind w:hanging="360"/>
        <w:jc w:val="center"/>
        <w:rPr>
          <w:b/>
          <w:bCs/>
          <w:i/>
          <w:noProof/>
        </w:rPr>
      </w:pPr>
      <w:r w:rsidRPr="00EE50FB">
        <w:rPr>
          <w:b/>
          <w:bCs/>
          <w:noProof/>
        </w:rPr>
        <w:lastRenderedPageBreak/>
        <w:t xml:space="preserve">Члан - Neni </w:t>
      </w:r>
      <w:r w:rsidR="00314623" w:rsidRPr="00EE50FB">
        <w:rPr>
          <w:b/>
          <w:bCs/>
          <w:noProof/>
        </w:rPr>
        <w:t>28</w:t>
      </w:r>
      <w:r w:rsidRPr="00EE50FB">
        <w:rPr>
          <w:b/>
          <w:bCs/>
          <w:noProof/>
        </w:rPr>
        <w:t>.</w:t>
      </w:r>
    </w:p>
    <w:p w:rsidR="00130A7B" w:rsidRPr="00EE50FB" w:rsidRDefault="00130A7B" w:rsidP="00130A7B">
      <w:pPr>
        <w:ind w:firstLine="708"/>
        <w:jc w:val="both"/>
        <w:rPr>
          <w:noProof/>
        </w:rPr>
      </w:pPr>
      <w:r w:rsidRPr="00EE50FB">
        <w:rPr>
          <w:noProof/>
        </w:rPr>
        <w:t xml:space="preserve">Обавезу плаћања закупнине има правно или физичко лице које је остварило право закупа и она настаје даном закључења уговора о закупу грађевинског земљишта. </w:t>
      </w:r>
    </w:p>
    <w:p w:rsidR="00130A7B" w:rsidRPr="00EE50FB" w:rsidRDefault="00130A7B" w:rsidP="00130A7B">
      <w:pPr>
        <w:pStyle w:val="BodyText"/>
        <w:ind w:firstLine="708"/>
        <w:rPr>
          <w:bCs/>
          <w:noProof/>
          <w:sz w:val="24"/>
        </w:rPr>
      </w:pPr>
      <w:r w:rsidRPr="00EE50FB">
        <w:rPr>
          <w:bCs/>
          <w:noProof/>
          <w:sz w:val="24"/>
        </w:rPr>
        <w:t>Për pagesën e qirasë është i obliguar çdo person fizik dhe juridik i cili i ka realizuar të drejtën nga qiraja dhe ai raport krijohet ditën e lidhjes së kontratës mbi qiranë për tokën ndërtimore.</w:t>
      </w:r>
    </w:p>
    <w:p w:rsidR="008A6B5A" w:rsidRPr="00EE50FB" w:rsidRDefault="00130A7B" w:rsidP="008A6B5A">
      <w:pPr>
        <w:spacing w:before="240"/>
        <w:ind w:hanging="360"/>
        <w:jc w:val="center"/>
        <w:rPr>
          <w:b/>
          <w:bCs/>
          <w:noProof/>
        </w:rPr>
      </w:pPr>
      <w:r w:rsidRPr="00EE50FB">
        <w:rPr>
          <w:b/>
          <w:bCs/>
          <w:noProof/>
        </w:rPr>
        <w:t>Члан - Neni</w:t>
      </w:r>
      <w:r w:rsidRPr="00EE50FB">
        <w:rPr>
          <w:b/>
          <w:bCs/>
          <w:i/>
          <w:noProof/>
        </w:rPr>
        <w:t xml:space="preserve"> </w:t>
      </w:r>
      <w:r w:rsidR="00314623" w:rsidRPr="00EE50FB">
        <w:rPr>
          <w:b/>
          <w:bCs/>
          <w:noProof/>
        </w:rPr>
        <w:t>29</w:t>
      </w:r>
      <w:r w:rsidRPr="00EE50FB">
        <w:rPr>
          <w:b/>
          <w:bCs/>
          <w:noProof/>
        </w:rPr>
        <w:t>.</w:t>
      </w:r>
    </w:p>
    <w:p w:rsidR="00130A7B" w:rsidRPr="00EE50FB" w:rsidRDefault="00130A7B" w:rsidP="00130A7B">
      <w:pPr>
        <w:ind w:firstLine="709"/>
        <w:jc w:val="both"/>
        <w:rPr>
          <w:noProof/>
        </w:rPr>
      </w:pPr>
      <w:r w:rsidRPr="00EE50FB">
        <w:rPr>
          <w:noProof/>
        </w:rPr>
        <w:t>Зависно од намене осталог грађевинско</w:t>
      </w:r>
      <w:r w:rsidR="00240121" w:rsidRPr="00EE50FB">
        <w:rPr>
          <w:noProof/>
        </w:rPr>
        <w:t>г земљишта, закупнина из члана 25</w:t>
      </w:r>
      <w:r w:rsidRPr="00EE50FB">
        <w:rPr>
          <w:noProof/>
        </w:rPr>
        <w:t>. ове одлуке увећана за 15% представљају почетну цену по м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грађевинског земљишта у поступку давања у закуп јавним надметањем , прикупљањем понуда јавним огласом и непосредном погодбом. </w:t>
      </w:r>
    </w:p>
    <w:p w:rsidR="00130A7B" w:rsidRPr="00EE50FB" w:rsidRDefault="00130A7B" w:rsidP="00130A7B">
      <w:pPr>
        <w:pStyle w:val="BodyText"/>
        <w:ind w:firstLine="709"/>
        <w:rPr>
          <w:bCs/>
          <w:noProof/>
          <w:sz w:val="24"/>
        </w:rPr>
      </w:pPr>
      <w:r w:rsidRPr="00EE50FB">
        <w:rPr>
          <w:bCs/>
          <w:noProof/>
          <w:sz w:val="24"/>
        </w:rPr>
        <w:t>Varësisht nga qëllimi i tokës  tjetër ndërtimore qi</w:t>
      </w:r>
      <w:r w:rsidR="00240121" w:rsidRPr="00EE50FB">
        <w:rPr>
          <w:bCs/>
          <w:noProof/>
          <w:sz w:val="24"/>
        </w:rPr>
        <w:t>raja nga neni i sipërpërmendur 25</w:t>
      </w:r>
      <w:r w:rsidRPr="00EE50FB">
        <w:rPr>
          <w:bCs/>
          <w:noProof/>
          <w:sz w:val="24"/>
        </w:rPr>
        <w:t>. të këtij Vendimi rritet për 15% dhe paraqet çmimin fillestar për m</w:t>
      </w:r>
      <w:r w:rsidRPr="00EE50FB">
        <w:rPr>
          <w:bCs/>
          <w:noProof/>
          <w:sz w:val="24"/>
          <w:vertAlign w:val="superscript"/>
        </w:rPr>
        <w:t>2</w:t>
      </w:r>
      <w:r w:rsidRPr="00EE50FB">
        <w:rPr>
          <w:bCs/>
          <w:noProof/>
          <w:sz w:val="24"/>
        </w:rPr>
        <w:t xml:space="preserve"> të tokës ndërtimore në procedurën e dhënies me qira dhe ate në mes të ankandit publik, ofertimeve publike dhe konkursit, poashtu edhe me marrëveshje të drejtëpërdrejtë.</w:t>
      </w:r>
    </w:p>
    <w:p w:rsidR="00130A7B" w:rsidRPr="00EE50FB" w:rsidRDefault="00130A7B" w:rsidP="00130A7B">
      <w:pPr>
        <w:spacing w:before="240"/>
        <w:ind w:hanging="360"/>
        <w:jc w:val="center"/>
        <w:rPr>
          <w:b/>
          <w:bCs/>
          <w:i/>
          <w:noProof/>
        </w:rPr>
      </w:pPr>
      <w:r w:rsidRPr="00EE50FB">
        <w:rPr>
          <w:b/>
          <w:bCs/>
          <w:noProof/>
        </w:rPr>
        <w:t>Члан - Neni</w:t>
      </w:r>
      <w:r w:rsidRPr="00EE50FB">
        <w:rPr>
          <w:b/>
          <w:bCs/>
          <w:i/>
          <w:noProof/>
        </w:rPr>
        <w:t xml:space="preserve"> </w:t>
      </w:r>
      <w:r w:rsidR="00314623" w:rsidRPr="00EE50FB">
        <w:rPr>
          <w:b/>
          <w:bCs/>
          <w:noProof/>
        </w:rPr>
        <w:t>30</w:t>
      </w:r>
      <w:r w:rsidRPr="00EE50FB">
        <w:rPr>
          <w:b/>
          <w:bCs/>
          <w:noProof/>
        </w:rPr>
        <w:t>.</w:t>
      </w:r>
    </w:p>
    <w:p w:rsidR="00130A7B" w:rsidRPr="00EE50FB" w:rsidRDefault="00130A7B" w:rsidP="00130A7B">
      <w:pPr>
        <w:ind w:firstLine="708"/>
        <w:jc w:val="both"/>
        <w:rPr>
          <w:noProof/>
        </w:rPr>
      </w:pPr>
      <w:r w:rsidRPr="00EE50FB">
        <w:rPr>
          <w:noProof/>
        </w:rPr>
        <w:t xml:space="preserve">Уговором о закупу који се закључује између </w:t>
      </w:r>
      <w:r w:rsidR="0001603E" w:rsidRPr="00EE50FB">
        <w:rPr>
          <w:noProof/>
        </w:rPr>
        <w:t xml:space="preserve">Одељењe за инвестиције и развој </w:t>
      </w:r>
      <w:r w:rsidRPr="00EE50FB">
        <w:rPr>
          <w:noProof/>
        </w:rPr>
        <w:t>и закупца грађевинског земљишта у року од 30 дана од дана доношење одлуке о давању земљишта у закуп, утврђује се на основу ове одлуке висина закупнине, рокови и начин плаћања и права обавезе у случају неизвршења обавезе плаћања закупнина.</w:t>
      </w:r>
    </w:p>
    <w:p w:rsidR="00130A7B" w:rsidRPr="00EE50FB" w:rsidRDefault="00130A7B" w:rsidP="00130A7B">
      <w:pPr>
        <w:pStyle w:val="BodyText"/>
        <w:ind w:firstLine="708"/>
        <w:rPr>
          <w:bCs/>
          <w:noProof/>
          <w:sz w:val="24"/>
        </w:rPr>
      </w:pPr>
      <w:r w:rsidRPr="00EE50FB">
        <w:rPr>
          <w:bCs/>
          <w:noProof/>
          <w:sz w:val="24"/>
        </w:rPr>
        <w:t xml:space="preserve">Kontrata mbi qiranë e cila lidhet në mes të </w:t>
      </w:r>
      <w:r w:rsidR="0001603E" w:rsidRPr="00EE50FB">
        <w:rPr>
          <w:bCs/>
          <w:noProof/>
          <w:sz w:val="24"/>
        </w:rPr>
        <w:t>Drejtoratit për investime dhe zhvillim</w:t>
      </w:r>
      <w:r w:rsidRPr="00EE50FB">
        <w:rPr>
          <w:bCs/>
          <w:noProof/>
          <w:sz w:val="24"/>
        </w:rPr>
        <w:t xml:space="preserve"> dhe qiramarrësit të tokës ndërtimore në afat prej 30 ditëve nga dita e marrjes së Vendimit mbi dhënien me qira të tokës ndërtimore përcaktohet në bazë të këtij Vendimi, lartësia e qirasë, afatet dhe mënyra e pagesës poashtu drejtat dhe obligimet në rast të mospërmbushjes së obligimeve në lidhje me pagesën e qirasë .</w:t>
      </w:r>
    </w:p>
    <w:p w:rsidR="00130A7B" w:rsidRPr="00EE50FB" w:rsidRDefault="00130A7B" w:rsidP="00130A7B">
      <w:pPr>
        <w:spacing w:before="240"/>
        <w:jc w:val="center"/>
        <w:rPr>
          <w:b/>
          <w:bCs/>
          <w:noProof/>
        </w:rPr>
      </w:pPr>
      <w:r w:rsidRPr="00EE50FB">
        <w:rPr>
          <w:b/>
          <w:bCs/>
          <w:noProof/>
        </w:rPr>
        <w:t>Члан - Neni</w:t>
      </w:r>
      <w:r w:rsidRPr="00EE50FB">
        <w:rPr>
          <w:b/>
          <w:bCs/>
          <w:i/>
          <w:noProof/>
        </w:rPr>
        <w:t xml:space="preserve"> </w:t>
      </w:r>
      <w:r w:rsidR="00314623" w:rsidRPr="00EE50FB">
        <w:rPr>
          <w:b/>
          <w:bCs/>
          <w:noProof/>
        </w:rPr>
        <w:t>31</w:t>
      </w:r>
      <w:r w:rsidRPr="00EE50FB">
        <w:rPr>
          <w:b/>
          <w:bCs/>
          <w:noProof/>
        </w:rPr>
        <w:t>.</w:t>
      </w:r>
    </w:p>
    <w:p w:rsidR="00130A7B" w:rsidRPr="00EE50FB" w:rsidRDefault="00130A7B" w:rsidP="00130A7B">
      <w:pPr>
        <w:ind w:hanging="360"/>
        <w:rPr>
          <w:noProof/>
        </w:rPr>
      </w:pPr>
      <w:r w:rsidRPr="00EE50FB">
        <w:rPr>
          <w:b/>
          <w:noProof/>
        </w:rPr>
        <w:t xml:space="preserve">   </w:t>
      </w:r>
      <w:r w:rsidRPr="00EE50FB">
        <w:rPr>
          <w:b/>
          <w:noProof/>
        </w:rPr>
        <w:tab/>
      </w:r>
      <w:r w:rsidRPr="00EE50FB">
        <w:rPr>
          <w:b/>
          <w:noProof/>
        </w:rPr>
        <w:tab/>
        <w:t xml:space="preserve"> </w:t>
      </w:r>
      <w:r w:rsidRPr="00EE50FB">
        <w:rPr>
          <w:noProof/>
        </w:rPr>
        <w:t>Све што није регулисање овом одлуком премењива че се закон о пореском поступком и пореском администрацијом.</w:t>
      </w:r>
    </w:p>
    <w:p w:rsidR="00C139DA" w:rsidRPr="00A439D4" w:rsidRDefault="00130A7B" w:rsidP="00A439D4">
      <w:pPr>
        <w:ind w:hanging="360"/>
        <w:rPr>
          <w:bCs/>
          <w:i/>
          <w:noProof/>
        </w:rPr>
      </w:pPr>
      <w:r w:rsidRPr="00EE50FB">
        <w:rPr>
          <w:noProof/>
        </w:rPr>
        <w:t xml:space="preserve">  </w:t>
      </w:r>
      <w:r w:rsidRPr="00EE50FB">
        <w:rPr>
          <w:noProof/>
        </w:rPr>
        <w:tab/>
      </w:r>
      <w:r w:rsidRPr="00EE50FB">
        <w:rPr>
          <w:noProof/>
        </w:rPr>
        <w:tab/>
        <w:t xml:space="preserve"> Çdo gjë që nuk është rregulluar me këtë vendim aplikohet ligji mbi procedurën tatimore dhe procedurën administrative.</w:t>
      </w:r>
    </w:p>
    <w:p w:rsidR="002E42C1" w:rsidRPr="00EE50FB" w:rsidRDefault="00314623" w:rsidP="002E42C1">
      <w:pPr>
        <w:spacing w:before="240"/>
        <w:jc w:val="center"/>
        <w:rPr>
          <w:i/>
          <w:noProof/>
        </w:rPr>
      </w:pPr>
      <w:r w:rsidRPr="00EE50FB">
        <w:rPr>
          <w:b/>
          <w:bCs/>
          <w:noProof/>
        </w:rPr>
        <w:t xml:space="preserve">Члан - Neni </w:t>
      </w:r>
      <w:r w:rsidR="002E42C1" w:rsidRPr="00EE50FB">
        <w:rPr>
          <w:b/>
          <w:bCs/>
          <w:noProof/>
        </w:rPr>
        <w:t>3</w:t>
      </w:r>
      <w:r w:rsidRPr="00EE50FB">
        <w:rPr>
          <w:b/>
          <w:bCs/>
          <w:noProof/>
        </w:rPr>
        <w:t>2</w:t>
      </w:r>
      <w:r w:rsidR="002E42C1" w:rsidRPr="00EE50FB">
        <w:rPr>
          <w:b/>
          <w:bCs/>
          <w:noProof/>
        </w:rPr>
        <w:t>.</w:t>
      </w:r>
    </w:p>
    <w:p w:rsidR="006C2521" w:rsidRPr="00EE50FB" w:rsidRDefault="002E42C1" w:rsidP="008A6B5A">
      <w:pPr>
        <w:pStyle w:val="BodyTextIndent"/>
        <w:ind w:left="0" w:firstLine="708"/>
        <w:rPr>
          <w:noProof/>
          <w:szCs w:val="22"/>
        </w:rPr>
      </w:pPr>
      <w:r w:rsidRPr="00EE50FB">
        <w:rPr>
          <w:noProof/>
          <w:szCs w:val="22"/>
        </w:rPr>
        <w:t>За докомплетирање грађевинске парцеле плаћа се накнада по 1м</w:t>
      </w:r>
      <w:r w:rsidRPr="00EE50FB">
        <w:rPr>
          <w:noProof/>
          <w:szCs w:val="22"/>
          <w:vertAlign w:val="superscript"/>
        </w:rPr>
        <w:t>2</w:t>
      </w:r>
      <w:r w:rsidRPr="00EE50FB">
        <w:rPr>
          <w:noProof/>
          <w:szCs w:val="22"/>
        </w:rPr>
        <w:t xml:space="preserve"> парцеле, која се даје по зонама и то :</w:t>
      </w:r>
    </w:p>
    <w:p w:rsidR="002E42C1" w:rsidRPr="00EE50FB" w:rsidRDefault="002E42C1" w:rsidP="002E42C1">
      <w:pPr>
        <w:ind w:firstLine="708"/>
        <w:jc w:val="both"/>
        <w:rPr>
          <w:noProof/>
        </w:rPr>
      </w:pPr>
      <w:r w:rsidRPr="00EE50FB">
        <w:rPr>
          <w:noProof/>
        </w:rPr>
        <w:t>Për kompletimin shtesë të parcelës ndërtimore kompenzimi paguhet për m</w:t>
      </w:r>
      <w:r w:rsidRPr="00EE50FB">
        <w:rPr>
          <w:noProof/>
          <w:vertAlign w:val="superscript"/>
        </w:rPr>
        <w:t>2</w:t>
      </w:r>
      <w:r w:rsidRPr="00EE50FB">
        <w:rPr>
          <w:noProof/>
        </w:rPr>
        <w:t xml:space="preserve"> të parcelës e cila ipet, sipas zonave : </w:t>
      </w:r>
    </w:p>
    <w:tbl>
      <w:tblPr>
        <w:tblW w:w="8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4671"/>
        <w:gridCol w:w="2186"/>
      </w:tblGrid>
      <w:tr w:rsidR="009B3F6B" w:rsidRPr="00EE50FB" w:rsidTr="009B3F6B">
        <w:trPr>
          <w:trHeight w:val="594"/>
        </w:trPr>
        <w:tc>
          <w:tcPr>
            <w:tcW w:w="1249" w:type="dxa"/>
          </w:tcPr>
          <w:p w:rsidR="009B3F6B" w:rsidRPr="00EE50FB" w:rsidRDefault="009B3F6B" w:rsidP="005F3A12">
            <w:pPr>
              <w:jc w:val="both"/>
              <w:rPr>
                <w:b/>
                <w:noProof/>
              </w:rPr>
            </w:pPr>
            <w:r w:rsidRPr="00EE50FB">
              <w:rPr>
                <w:b/>
                <w:noProof/>
              </w:rPr>
              <w:t>Р.Бр.</w:t>
            </w:r>
          </w:p>
          <w:p w:rsidR="009B3F6B" w:rsidRPr="00EE50FB" w:rsidRDefault="009B3F6B" w:rsidP="005F3A12">
            <w:pPr>
              <w:jc w:val="both"/>
              <w:rPr>
                <w:b/>
                <w:noProof/>
              </w:rPr>
            </w:pPr>
            <w:r w:rsidRPr="00EE50FB">
              <w:rPr>
                <w:b/>
                <w:noProof/>
              </w:rPr>
              <w:t>Nr. Rend.</w:t>
            </w:r>
          </w:p>
        </w:tc>
        <w:tc>
          <w:tcPr>
            <w:tcW w:w="4671" w:type="dxa"/>
            <w:vAlign w:val="center"/>
          </w:tcPr>
          <w:p w:rsidR="009B3F6B" w:rsidRPr="00EE50FB" w:rsidRDefault="009B3F6B" w:rsidP="005F3A12">
            <w:pPr>
              <w:jc w:val="center"/>
              <w:rPr>
                <w:b/>
                <w:noProof/>
              </w:rPr>
            </w:pPr>
            <w:r w:rsidRPr="00EE50FB">
              <w:rPr>
                <w:b/>
                <w:noProof/>
              </w:rPr>
              <w:t>Опис - përshkrimi</w:t>
            </w:r>
          </w:p>
        </w:tc>
        <w:tc>
          <w:tcPr>
            <w:tcW w:w="2186" w:type="dxa"/>
            <w:vAlign w:val="center"/>
          </w:tcPr>
          <w:p w:rsidR="009B3F6B" w:rsidRPr="00EE50FB" w:rsidRDefault="00D70FBA" w:rsidP="009B3F6B">
            <w:pPr>
              <w:jc w:val="center"/>
              <w:rPr>
                <w:b/>
                <w:noProof/>
              </w:rPr>
            </w:pPr>
            <w:r w:rsidRPr="00EE50FB">
              <w:rPr>
                <w:b/>
                <w:noProof/>
              </w:rPr>
              <w:t>Viti 202</w:t>
            </w:r>
            <w:r w:rsidR="00E35A95">
              <w:rPr>
                <w:b/>
                <w:noProof/>
              </w:rPr>
              <w:t>5</w:t>
            </w:r>
            <w:r w:rsidR="009B3F6B" w:rsidRPr="00EE50FB">
              <w:rPr>
                <w:b/>
                <w:noProof/>
              </w:rPr>
              <w:t xml:space="preserve"> година</w:t>
            </w:r>
          </w:p>
        </w:tc>
      </w:tr>
      <w:tr w:rsidR="009B3F6B" w:rsidRPr="00EE50FB" w:rsidTr="009B3F6B">
        <w:trPr>
          <w:trHeight w:val="228"/>
        </w:trPr>
        <w:tc>
          <w:tcPr>
            <w:tcW w:w="1249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1.</w:t>
            </w:r>
          </w:p>
        </w:tc>
        <w:tc>
          <w:tcPr>
            <w:tcW w:w="4671" w:type="dxa"/>
          </w:tcPr>
          <w:p w:rsidR="009B3F6B" w:rsidRPr="00EE50FB" w:rsidRDefault="009B3F6B" w:rsidP="005F3A12">
            <w:pPr>
              <w:jc w:val="both"/>
              <w:rPr>
                <w:i/>
                <w:noProof/>
              </w:rPr>
            </w:pPr>
            <w:r w:rsidRPr="00EE50FB">
              <w:rPr>
                <w:b/>
                <w:noProof/>
              </w:rPr>
              <w:t>I</w:t>
            </w:r>
            <w:r w:rsidRPr="00EE50FB">
              <w:rPr>
                <w:noProof/>
              </w:rPr>
              <w:t xml:space="preserve"> (прва) зона</w:t>
            </w:r>
            <w:r w:rsidRPr="00EE50FB">
              <w:rPr>
                <w:i/>
                <w:noProof/>
              </w:rPr>
              <w:t xml:space="preserve"> - </w:t>
            </w:r>
            <w:r w:rsidRPr="00EE50FB">
              <w:rPr>
                <w:noProof/>
              </w:rPr>
              <w:t>Zona e I ( parë )</w:t>
            </w:r>
          </w:p>
        </w:tc>
        <w:tc>
          <w:tcPr>
            <w:tcW w:w="2186" w:type="dxa"/>
          </w:tcPr>
          <w:p w:rsidR="009B3F6B" w:rsidRPr="00EE50FB" w:rsidRDefault="00E75023" w:rsidP="005F3A12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FF280A" w:rsidRPr="00EE50FB">
              <w:rPr>
                <w:noProof/>
              </w:rPr>
              <w:t>00</w:t>
            </w:r>
            <w:r w:rsidR="009B3F6B" w:rsidRPr="00EE50FB">
              <w:rPr>
                <w:noProof/>
              </w:rPr>
              <w:t>,00</w:t>
            </w:r>
          </w:p>
        </w:tc>
      </w:tr>
      <w:tr w:rsidR="009B3F6B" w:rsidRPr="00EE50FB" w:rsidTr="009B3F6B">
        <w:trPr>
          <w:trHeight w:val="261"/>
        </w:trPr>
        <w:tc>
          <w:tcPr>
            <w:tcW w:w="1249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2.</w:t>
            </w:r>
          </w:p>
        </w:tc>
        <w:tc>
          <w:tcPr>
            <w:tcW w:w="4671" w:type="dxa"/>
          </w:tcPr>
          <w:p w:rsidR="009B3F6B" w:rsidRPr="00EE50FB" w:rsidRDefault="009B3F6B" w:rsidP="005F3A12">
            <w:pPr>
              <w:jc w:val="both"/>
              <w:rPr>
                <w:i/>
                <w:noProof/>
              </w:rPr>
            </w:pPr>
            <w:r w:rsidRPr="00EE50FB">
              <w:rPr>
                <w:b/>
                <w:noProof/>
              </w:rPr>
              <w:t>I I</w:t>
            </w:r>
            <w:r w:rsidRPr="00EE50FB">
              <w:rPr>
                <w:noProof/>
              </w:rPr>
              <w:t xml:space="preserve"> (друга) зона </w:t>
            </w:r>
            <w:r w:rsidRPr="00EE50FB">
              <w:rPr>
                <w:i/>
                <w:noProof/>
              </w:rPr>
              <w:t xml:space="preserve">- </w:t>
            </w:r>
            <w:r w:rsidRPr="00EE50FB">
              <w:rPr>
                <w:noProof/>
              </w:rPr>
              <w:t>Zona e II (dytë )</w:t>
            </w:r>
          </w:p>
        </w:tc>
        <w:tc>
          <w:tcPr>
            <w:tcW w:w="2186" w:type="dxa"/>
          </w:tcPr>
          <w:p w:rsidR="009B3F6B" w:rsidRPr="00EE50FB" w:rsidRDefault="00E75023" w:rsidP="005F3A12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 w:rsidR="000D327D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</w:tr>
      <w:tr w:rsidR="009B3F6B" w:rsidRPr="00EE50FB" w:rsidTr="009B3F6B">
        <w:trPr>
          <w:trHeight w:val="264"/>
        </w:trPr>
        <w:tc>
          <w:tcPr>
            <w:tcW w:w="1249" w:type="dxa"/>
          </w:tcPr>
          <w:p w:rsidR="009B3F6B" w:rsidRPr="00EE50FB" w:rsidRDefault="009B3F6B" w:rsidP="005F3A12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3.</w:t>
            </w:r>
          </w:p>
        </w:tc>
        <w:tc>
          <w:tcPr>
            <w:tcW w:w="4671" w:type="dxa"/>
          </w:tcPr>
          <w:p w:rsidR="009B3F6B" w:rsidRPr="00EE50FB" w:rsidRDefault="009B3F6B" w:rsidP="005F3A12">
            <w:pPr>
              <w:jc w:val="both"/>
              <w:rPr>
                <w:i/>
                <w:noProof/>
              </w:rPr>
            </w:pPr>
            <w:r w:rsidRPr="00EE50FB">
              <w:rPr>
                <w:b/>
                <w:noProof/>
              </w:rPr>
              <w:t>I</w:t>
            </w:r>
            <w:r w:rsidRPr="00EE50FB">
              <w:rPr>
                <w:noProof/>
              </w:rPr>
              <w:t xml:space="preserve"> </w:t>
            </w:r>
            <w:r w:rsidRPr="00EE50FB">
              <w:rPr>
                <w:b/>
                <w:noProof/>
              </w:rPr>
              <w:t>I</w:t>
            </w:r>
            <w:r w:rsidRPr="00EE50FB">
              <w:rPr>
                <w:noProof/>
              </w:rPr>
              <w:t xml:space="preserve"> </w:t>
            </w:r>
            <w:r w:rsidRPr="00EE50FB">
              <w:rPr>
                <w:b/>
                <w:noProof/>
              </w:rPr>
              <w:t>I</w:t>
            </w:r>
            <w:r w:rsidRPr="00EE50FB">
              <w:rPr>
                <w:noProof/>
              </w:rPr>
              <w:t xml:space="preserve">  (трећа) зона </w:t>
            </w:r>
            <w:r w:rsidRPr="00EE50FB">
              <w:rPr>
                <w:i/>
                <w:noProof/>
              </w:rPr>
              <w:t xml:space="preserve">- </w:t>
            </w:r>
            <w:r w:rsidRPr="00EE50FB">
              <w:rPr>
                <w:noProof/>
              </w:rPr>
              <w:t xml:space="preserve"> Zona e III (tretë )</w:t>
            </w:r>
          </w:p>
        </w:tc>
        <w:tc>
          <w:tcPr>
            <w:tcW w:w="2186" w:type="dxa"/>
          </w:tcPr>
          <w:p w:rsidR="009B3F6B" w:rsidRPr="00EE50FB" w:rsidRDefault="00E75023" w:rsidP="00E75023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="000D327D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</w:tr>
      <w:tr w:rsidR="009B3F6B" w:rsidRPr="00EE50FB" w:rsidTr="009B3F6B">
        <w:trPr>
          <w:trHeight w:val="264"/>
        </w:trPr>
        <w:tc>
          <w:tcPr>
            <w:tcW w:w="1249" w:type="dxa"/>
          </w:tcPr>
          <w:p w:rsidR="009B3F6B" w:rsidRPr="00EE50FB" w:rsidRDefault="009B3F6B" w:rsidP="002E42C1">
            <w:pPr>
              <w:jc w:val="center"/>
              <w:rPr>
                <w:noProof/>
              </w:rPr>
            </w:pPr>
            <w:r w:rsidRPr="00EE50FB">
              <w:rPr>
                <w:noProof/>
              </w:rPr>
              <w:t>4.</w:t>
            </w:r>
          </w:p>
        </w:tc>
        <w:tc>
          <w:tcPr>
            <w:tcW w:w="4671" w:type="dxa"/>
          </w:tcPr>
          <w:p w:rsidR="009B3F6B" w:rsidRPr="00EE50FB" w:rsidRDefault="009B3F6B" w:rsidP="002E42C1">
            <w:pPr>
              <w:jc w:val="both"/>
              <w:rPr>
                <w:i/>
                <w:noProof/>
              </w:rPr>
            </w:pPr>
            <w:r w:rsidRPr="00EE50FB">
              <w:rPr>
                <w:b/>
                <w:noProof/>
              </w:rPr>
              <w:t>I</w:t>
            </w:r>
            <w:r w:rsidRPr="00EE50FB">
              <w:rPr>
                <w:noProof/>
              </w:rPr>
              <w:t xml:space="preserve"> </w:t>
            </w:r>
            <w:r w:rsidRPr="00EE50FB">
              <w:rPr>
                <w:b/>
                <w:noProof/>
              </w:rPr>
              <w:t>V</w:t>
            </w:r>
            <w:r w:rsidRPr="00EE50FB">
              <w:rPr>
                <w:noProof/>
              </w:rPr>
              <w:t xml:space="preserve">  (четврта) зона </w:t>
            </w:r>
            <w:r w:rsidRPr="00EE50FB">
              <w:rPr>
                <w:i/>
                <w:noProof/>
              </w:rPr>
              <w:t xml:space="preserve">- </w:t>
            </w:r>
            <w:r w:rsidRPr="00EE50FB">
              <w:rPr>
                <w:noProof/>
              </w:rPr>
              <w:t xml:space="preserve"> Zona e IV (katërt )</w:t>
            </w:r>
          </w:p>
        </w:tc>
        <w:tc>
          <w:tcPr>
            <w:tcW w:w="2186" w:type="dxa"/>
          </w:tcPr>
          <w:p w:rsidR="009B3F6B" w:rsidRPr="00EE50FB" w:rsidRDefault="00E75023" w:rsidP="00A83F78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="000D327D" w:rsidRPr="00EE50FB">
              <w:rPr>
                <w:noProof/>
              </w:rPr>
              <w:t>0</w:t>
            </w:r>
            <w:r w:rsidR="009B3F6B" w:rsidRPr="00EE50FB">
              <w:rPr>
                <w:noProof/>
              </w:rPr>
              <w:t>0,00</w:t>
            </w:r>
          </w:p>
        </w:tc>
      </w:tr>
    </w:tbl>
    <w:p w:rsidR="006C2521" w:rsidRPr="00EE50FB" w:rsidRDefault="002E42C1" w:rsidP="00A439D4">
      <w:pPr>
        <w:spacing w:before="240"/>
        <w:jc w:val="center"/>
        <w:rPr>
          <w:b/>
          <w:bCs/>
          <w:noProof/>
        </w:rPr>
      </w:pPr>
      <w:r w:rsidRPr="00EE50FB">
        <w:rPr>
          <w:b/>
          <w:bCs/>
          <w:noProof/>
        </w:rPr>
        <w:lastRenderedPageBreak/>
        <w:t>Члан - Neni</w:t>
      </w:r>
      <w:r w:rsidRPr="00EE50FB">
        <w:rPr>
          <w:b/>
          <w:bCs/>
          <w:i/>
          <w:noProof/>
        </w:rPr>
        <w:t xml:space="preserve"> </w:t>
      </w:r>
      <w:r w:rsidR="00314623" w:rsidRPr="00EE50FB">
        <w:rPr>
          <w:b/>
          <w:bCs/>
          <w:noProof/>
        </w:rPr>
        <w:t>33</w:t>
      </w:r>
      <w:r w:rsidRPr="00EE50FB">
        <w:rPr>
          <w:b/>
          <w:bCs/>
          <w:noProof/>
        </w:rPr>
        <w:t>.</w:t>
      </w:r>
    </w:p>
    <w:p w:rsidR="002E42C1" w:rsidRPr="00EE50FB" w:rsidRDefault="002E42C1" w:rsidP="002E42C1">
      <w:pPr>
        <w:ind w:firstLine="708"/>
        <w:jc w:val="both"/>
        <w:rPr>
          <w:bCs/>
          <w:noProof/>
        </w:rPr>
      </w:pPr>
      <w:r w:rsidRPr="00EE50FB">
        <w:rPr>
          <w:noProof/>
        </w:rPr>
        <w:t>У</w:t>
      </w:r>
      <w:r w:rsidR="00314623" w:rsidRPr="00EE50FB">
        <w:rPr>
          <w:noProof/>
        </w:rPr>
        <w:t>тврђени износ накнаде из члана 3</w:t>
      </w:r>
      <w:r w:rsidRPr="00EE50FB">
        <w:rPr>
          <w:noProof/>
        </w:rPr>
        <w:t>2. ове Одлуке плаћа се у три једнаке месечне рате.</w:t>
      </w:r>
      <w:r w:rsidRPr="00EE50FB">
        <w:rPr>
          <w:bCs/>
          <w:noProof/>
        </w:rPr>
        <w:t xml:space="preserve"> </w:t>
      </w:r>
    </w:p>
    <w:p w:rsidR="002E42C1" w:rsidRPr="00EE50FB" w:rsidRDefault="002E42C1" w:rsidP="002E42C1">
      <w:pPr>
        <w:ind w:firstLine="708"/>
        <w:jc w:val="both"/>
        <w:rPr>
          <w:bCs/>
          <w:noProof/>
        </w:rPr>
      </w:pPr>
      <w:r w:rsidRPr="00EE50FB">
        <w:rPr>
          <w:bCs/>
          <w:noProof/>
        </w:rPr>
        <w:t xml:space="preserve">Shuma e përcaktuar e kompenzimit nga neni </w:t>
      </w:r>
      <w:r w:rsidR="00314623" w:rsidRPr="00EE50FB">
        <w:rPr>
          <w:bCs/>
          <w:noProof/>
        </w:rPr>
        <w:t>3</w:t>
      </w:r>
      <w:r w:rsidRPr="00EE50FB">
        <w:rPr>
          <w:bCs/>
          <w:noProof/>
        </w:rPr>
        <w:t>2. i këtij Vendimi paguhet në tri këste  mujore të barabarta.</w:t>
      </w:r>
    </w:p>
    <w:p w:rsidR="002E42C1" w:rsidRPr="00EE50FB" w:rsidRDefault="002E42C1" w:rsidP="002E42C1">
      <w:pPr>
        <w:spacing w:before="240"/>
        <w:ind w:firstLine="720"/>
        <w:jc w:val="both"/>
        <w:rPr>
          <w:noProof/>
        </w:rPr>
      </w:pPr>
      <w:r w:rsidRPr="00EE50FB">
        <w:rPr>
          <w:noProof/>
        </w:rPr>
        <w:t xml:space="preserve">Уколико се износ накнаде плаћа једнократко, исти се умањује за 20%. </w:t>
      </w:r>
    </w:p>
    <w:p w:rsidR="00B65FEC" w:rsidRDefault="002E42C1" w:rsidP="00C139DA">
      <w:pPr>
        <w:ind w:firstLine="720"/>
        <w:jc w:val="both"/>
        <w:rPr>
          <w:i/>
          <w:noProof/>
        </w:rPr>
      </w:pPr>
      <w:r w:rsidRPr="00EE50FB">
        <w:rPr>
          <w:noProof/>
        </w:rPr>
        <w:t xml:space="preserve">Nëse shuma e kompenzimit paguhet në tërësi dhe menjëher, ajo zbritet për 20%. </w:t>
      </w:r>
    </w:p>
    <w:p w:rsidR="00C139DA" w:rsidRPr="00C139DA" w:rsidRDefault="00C139DA" w:rsidP="00C139DA">
      <w:pPr>
        <w:ind w:firstLine="720"/>
        <w:jc w:val="both"/>
        <w:rPr>
          <w:i/>
          <w:noProof/>
        </w:rPr>
      </w:pPr>
    </w:p>
    <w:p w:rsidR="003F722C" w:rsidRDefault="00B65FEC" w:rsidP="003F722C">
      <w:pPr>
        <w:spacing w:after="200" w:line="276" w:lineRule="auto"/>
        <w:jc w:val="center"/>
        <w:rPr>
          <w:b/>
          <w:noProof/>
        </w:rPr>
      </w:pPr>
      <w:r w:rsidRPr="00EE50FB">
        <w:rPr>
          <w:b/>
          <w:noProof/>
        </w:rPr>
        <w:t xml:space="preserve">Члан - Neni </w:t>
      </w:r>
      <w:r w:rsidR="0090474C" w:rsidRPr="00EE50FB">
        <w:rPr>
          <w:b/>
          <w:noProof/>
        </w:rPr>
        <w:t>34</w:t>
      </w:r>
      <w:r w:rsidRPr="00EE50FB">
        <w:rPr>
          <w:b/>
          <w:noProof/>
        </w:rPr>
        <w:t>.</w:t>
      </w:r>
    </w:p>
    <w:p w:rsidR="00B65FEC" w:rsidRPr="003F722C" w:rsidRDefault="00B65FEC" w:rsidP="003F722C">
      <w:pPr>
        <w:spacing w:after="200" w:line="276" w:lineRule="auto"/>
        <w:jc w:val="center"/>
        <w:rPr>
          <w:b/>
          <w:noProof/>
        </w:rPr>
      </w:pPr>
      <w:r w:rsidRPr="00EE50FB">
        <w:rPr>
          <w:noProof/>
        </w:rPr>
        <w:t xml:space="preserve"> На све што није регулисано овом Одлуком примењиваће се одредбе </w:t>
      </w:r>
      <w:r w:rsidR="002519DE" w:rsidRPr="00EE50FB">
        <w:rPr>
          <w:noProof/>
        </w:rPr>
        <w:t>Закона о планирању и изградњи (“Службени гласник Републике Србије” бр. 72/09, 81/09 - испр, 64/10 - одлука УС, 24/11, 121/12, 42/13 – одлука УС, 50/13 – одлука УС, 98/13 – одлука УС, 132/14, 145/14, 83/18, 31/19, 37/19-др.Закон</w:t>
      </w:r>
      <w:r w:rsidR="00CC0DE6" w:rsidRPr="00EE50FB">
        <w:rPr>
          <w:noProof/>
        </w:rPr>
        <w:t>,</w:t>
      </w:r>
      <w:r w:rsidR="002519DE" w:rsidRPr="00EE50FB">
        <w:rPr>
          <w:noProof/>
        </w:rPr>
        <w:t xml:space="preserve"> 9/20</w:t>
      </w:r>
      <w:r w:rsidR="00FF208F" w:rsidRPr="00EE50FB">
        <w:rPr>
          <w:noProof/>
        </w:rPr>
        <w:t>,</w:t>
      </w:r>
      <w:r w:rsidR="00CC0DE6" w:rsidRPr="00EE50FB">
        <w:rPr>
          <w:noProof/>
        </w:rPr>
        <w:t xml:space="preserve"> 52/2021</w:t>
      </w:r>
      <w:r w:rsidR="00FF208F" w:rsidRPr="00EE50FB">
        <w:rPr>
          <w:noProof/>
        </w:rPr>
        <w:t xml:space="preserve"> и 62/2023</w:t>
      </w:r>
      <w:r w:rsidR="00CC0DE6" w:rsidRPr="00EE50FB">
        <w:rPr>
          <w:noProof/>
        </w:rPr>
        <w:t xml:space="preserve"> </w:t>
      </w:r>
      <w:r w:rsidR="002519DE" w:rsidRPr="00EE50FB">
        <w:rPr>
          <w:noProof/>
        </w:rPr>
        <w:t xml:space="preserve"> )</w:t>
      </w:r>
      <w:r w:rsidRPr="00EE50FB">
        <w:rPr>
          <w:noProof/>
        </w:rPr>
        <w:t>.</w:t>
      </w:r>
    </w:p>
    <w:p w:rsidR="00B65FEC" w:rsidRPr="00EE50FB" w:rsidRDefault="00B65FEC" w:rsidP="00B65FEC">
      <w:pPr>
        <w:shd w:val="clear" w:color="auto" w:fill="FFFFFF"/>
        <w:jc w:val="both"/>
        <w:rPr>
          <w:noProof/>
        </w:rPr>
      </w:pPr>
      <w:r w:rsidRPr="00EE50FB">
        <w:rPr>
          <w:noProof/>
        </w:rPr>
        <w:t xml:space="preserve">              Gjithqka që nuk është e rregulluar me këtë Vendim, aplikohen dispozitat </w:t>
      </w:r>
      <w:r w:rsidR="002519DE" w:rsidRPr="00EE50FB">
        <w:rPr>
          <w:noProof/>
        </w:rPr>
        <w:t>të Ligjit mbi planifikimin dhe ndërtimin (“Gazetazyrtare e RS”, nr. 72/09, 81/09- korigj. 64/10,- Vendimi GJK, 24/11, 121/12, 42/13-Vendimi GJK, 50/13- Vendimi GJK, 98/13-Vendimi GJK, 132/14 dhe 145/14</w:t>
      </w:r>
      <w:r w:rsidR="00CC0DE6" w:rsidRPr="00EE50FB">
        <w:rPr>
          <w:noProof/>
        </w:rPr>
        <w:t>, 83/18, 31/19, 37/19,</w:t>
      </w:r>
      <w:r w:rsidR="002519DE" w:rsidRPr="00EE50FB">
        <w:rPr>
          <w:noProof/>
        </w:rPr>
        <w:t xml:space="preserve"> 9/20</w:t>
      </w:r>
      <w:r w:rsidR="00FF208F" w:rsidRPr="00EE50FB">
        <w:rPr>
          <w:noProof/>
        </w:rPr>
        <w:t>,</w:t>
      </w:r>
      <w:r w:rsidR="00CC0DE6" w:rsidRPr="00EE50FB">
        <w:rPr>
          <w:noProof/>
        </w:rPr>
        <w:t xml:space="preserve"> 52/2021</w:t>
      </w:r>
      <w:r w:rsidR="00FF208F" w:rsidRPr="00EE50FB">
        <w:rPr>
          <w:noProof/>
        </w:rPr>
        <w:t xml:space="preserve"> dhe 62/2023</w:t>
      </w:r>
      <w:r w:rsidR="002519DE" w:rsidRPr="00EE50FB">
        <w:rPr>
          <w:noProof/>
        </w:rPr>
        <w:t>)</w:t>
      </w:r>
      <w:r w:rsidRPr="00EE50FB">
        <w:rPr>
          <w:noProof/>
        </w:rPr>
        <w:t>.</w:t>
      </w:r>
    </w:p>
    <w:p w:rsidR="00B65FEC" w:rsidRPr="00EE50FB" w:rsidRDefault="00B65FEC" w:rsidP="00B65FEC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1A87" w:rsidRPr="00EE50FB" w:rsidRDefault="00B65FEC" w:rsidP="006934FF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t xml:space="preserve">Члан - Neni </w:t>
      </w:r>
      <w:r w:rsidR="0090474C" w:rsidRPr="00EE50FB">
        <w:rPr>
          <w:b/>
          <w:noProof/>
        </w:rPr>
        <w:t>35</w:t>
      </w:r>
      <w:r w:rsidRPr="00EE50FB">
        <w:rPr>
          <w:b/>
          <w:noProof/>
        </w:rPr>
        <w:t>.</w:t>
      </w:r>
    </w:p>
    <w:p w:rsidR="0090474C" w:rsidRPr="00EE50FB" w:rsidRDefault="0090474C" w:rsidP="0090474C">
      <w:pPr>
        <w:ind w:firstLine="708"/>
        <w:jc w:val="both"/>
        <w:rPr>
          <w:noProof/>
        </w:rPr>
      </w:pPr>
      <w:r w:rsidRPr="00EE50FB">
        <w:rPr>
          <w:noProof/>
        </w:rPr>
        <w:t>Даном ступања на снагу ове одлуке престаје да важи Одлука о</w:t>
      </w:r>
      <w:r w:rsidR="0036661E" w:rsidRPr="00EE50FB">
        <w:rPr>
          <w:noProof/>
        </w:rPr>
        <w:t>утврђиванњу доприноса за уређивање грађевинског земљишта,</w:t>
      </w:r>
      <w:r w:rsidRPr="00EE50FB">
        <w:rPr>
          <w:noProof/>
        </w:rPr>
        <w:t xml:space="preserve"> критеријумима и мерилима за утврђивање закупнине грађевинског земљишта за 20</w:t>
      </w:r>
      <w:r w:rsidR="0036661E" w:rsidRPr="00EE50FB">
        <w:rPr>
          <w:noProof/>
        </w:rPr>
        <w:t>2</w:t>
      </w:r>
      <w:r w:rsidR="00E35A95">
        <w:rPr>
          <w:noProof/>
        </w:rPr>
        <w:t>4</w:t>
      </w:r>
      <w:r w:rsidRPr="00EE50FB">
        <w:rPr>
          <w:noProof/>
        </w:rPr>
        <w:t xml:space="preserve"> годину, број 02-</w:t>
      </w:r>
      <w:r w:rsidR="00E35A95">
        <w:rPr>
          <w:noProof/>
        </w:rPr>
        <w:t>46</w:t>
      </w:r>
      <w:r w:rsidR="0036661E" w:rsidRPr="00EE50FB">
        <w:rPr>
          <w:noProof/>
        </w:rPr>
        <w:t>/</w:t>
      </w:r>
      <w:r w:rsidR="00E35A95">
        <w:rPr>
          <w:noProof/>
        </w:rPr>
        <w:t>23</w:t>
      </w:r>
      <w:r w:rsidRPr="00EE50FB">
        <w:rPr>
          <w:noProof/>
        </w:rPr>
        <w:t xml:space="preserve">. од </w:t>
      </w:r>
      <w:r w:rsidR="00E35A95">
        <w:rPr>
          <w:noProof/>
        </w:rPr>
        <w:t>15</w:t>
      </w:r>
      <w:r w:rsidR="0036661E" w:rsidRPr="00EE50FB">
        <w:rPr>
          <w:noProof/>
        </w:rPr>
        <w:t>.</w:t>
      </w:r>
      <w:r w:rsidR="00E35A95">
        <w:rPr>
          <w:noProof/>
        </w:rPr>
        <w:t>11</w:t>
      </w:r>
      <w:r w:rsidR="0036661E" w:rsidRPr="00EE50FB">
        <w:rPr>
          <w:noProof/>
        </w:rPr>
        <w:t>.20</w:t>
      </w:r>
      <w:r w:rsidR="00E35A95">
        <w:rPr>
          <w:noProof/>
        </w:rPr>
        <w:t>23</w:t>
      </w:r>
      <w:r w:rsidRPr="00EE50FB">
        <w:rPr>
          <w:noProof/>
        </w:rPr>
        <w:t xml:space="preserve">г. („Службени  гласник општине Бујановац, број </w:t>
      </w:r>
      <w:r w:rsidR="006D0CC3" w:rsidRPr="006D0CC3">
        <w:rPr>
          <w:noProof/>
        </w:rPr>
        <w:t>9/2023</w:t>
      </w:r>
      <w:r w:rsidRPr="006D0CC3">
        <w:rPr>
          <w:noProof/>
        </w:rPr>
        <w:t>).</w:t>
      </w:r>
      <w:r w:rsidRPr="00EE50FB">
        <w:rPr>
          <w:noProof/>
        </w:rPr>
        <w:t xml:space="preserve"> </w:t>
      </w:r>
    </w:p>
    <w:p w:rsidR="003F722C" w:rsidRPr="00A439D4" w:rsidRDefault="0090474C" w:rsidP="00A439D4">
      <w:pPr>
        <w:ind w:firstLine="708"/>
        <w:jc w:val="both"/>
        <w:rPr>
          <w:bCs/>
          <w:noProof/>
        </w:rPr>
      </w:pPr>
      <w:r w:rsidRPr="00EE50FB">
        <w:rPr>
          <w:bCs/>
          <w:noProof/>
        </w:rPr>
        <w:t>Në ditën e hyrjes  në fuqi të këtij Vendimi sh'fuqizohet Vendimi mbi</w:t>
      </w:r>
      <w:r w:rsidR="002F0215" w:rsidRPr="00EE50FB">
        <w:rPr>
          <w:bCs/>
          <w:noProof/>
        </w:rPr>
        <w:t xml:space="preserve"> përcaktimin e kontributit për rregullimini e tokëe ndërtimore,</w:t>
      </w:r>
      <w:r w:rsidRPr="00EE50FB">
        <w:rPr>
          <w:bCs/>
          <w:noProof/>
        </w:rPr>
        <w:t xml:space="preserve"> kriteret dhe masat e përcaktimit të qirasë  për rregullimin </w:t>
      </w:r>
      <w:r w:rsidR="00D17100" w:rsidRPr="00EE50FB">
        <w:rPr>
          <w:bCs/>
          <w:noProof/>
        </w:rPr>
        <w:t>e</w:t>
      </w:r>
      <w:r w:rsidR="00790A45">
        <w:rPr>
          <w:bCs/>
          <w:noProof/>
        </w:rPr>
        <w:t xml:space="preserve"> tokës ndërtimore për vitin 2024</w:t>
      </w:r>
      <w:r w:rsidRPr="00EE50FB">
        <w:rPr>
          <w:bCs/>
          <w:noProof/>
        </w:rPr>
        <w:t xml:space="preserve">,  nr. </w:t>
      </w:r>
      <w:r w:rsidRPr="00EE50FB">
        <w:rPr>
          <w:noProof/>
        </w:rPr>
        <w:t>02-</w:t>
      </w:r>
      <w:r w:rsidR="00790A45">
        <w:rPr>
          <w:noProof/>
        </w:rPr>
        <w:t>46/23</w:t>
      </w:r>
      <w:r w:rsidRPr="00EE50FB">
        <w:rPr>
          <w:bCs/>
          <w:noProof/>
        </w:rPr>
        <w:t xml:space="preserve"> të datës </w:t>
      </w:r>
      <w:r w:rsidR="00790A45">
        <w:rPr>
          <w:bCs/>
          <w:noProof/>
        </w:rPr>
        <w:t>15</w:t>
      </w:r>
      <w:r w:rsidR="00560322" w:rsidRPr="00EE50FB">
        <w:rPr>
          <w:bCs/>
          <w:noProof/>
        </w:rPr>
        <w:t>.</w:t>
      </w:r>
      <w:r w:rsidRPr="00EE50FB">
        <w:rPr>
          <w:bCs/>
          <w:noProof/>
        </w:rPr>
        <w:t>1</w:t>
      </w:r>
      <w:r w:rsidR="00790A45">
        <w:rPr>
          <w:bCs/>
          <w:noProof/>
        </w:rPr>
        <w:t>1.2023</w:t>
      </w:r>
      <w:r w:rsidRPr="00EE50FB">
        <w:rPr>
          <w:bCs/>
          <w:noProof/>
        </w:rPr>
        <w:t xml:space="preserve"> (“Gazeta zyrtare e komunës së Bujanocit”, nr.</w:t>
      </w:r>
      <w:r w:rsidR="006D0CC3" w:rsidRPr="006D0CC3">
        <w:rPr>
          <w:bCs/>
          <w:noProof/>
        </w:rPr>
        <w:t>9/2023</w:t>
      </w:r>
      <w:r w:rsidRPr="006D0CC3">
        <w:rPr>
          <w:bCs/>
          <w:noProof/>
        </w:rPr>
        <w:t>).</w:t>
      </w:r>
      <w:r w:rsidRPr="00EE50FB">
        <w:rPr>
          <w:bCs/>
          <w:noProof/>
        </w:rPr>
        <w:t xml:space="preserve"> </w:t>
      </w:r>
    </w:p>
    <w:p w:rsidR="006C2521" w:rsidRPr="00EE50FB" w:rsidRDefault="00C354E5" w:rsidP="008A6B5A">
      <w:pPr>
        <w:spacing w:before="240"/>
        <w:jc w:val="center"/>
        <w:rPr>
          <w:b/>
          <w:bCs/>
          <w:i/>
          <w:noProof/>
        </w:rPr>
      </w:pPr>
      <w:r w:rsidRPr="00EE50FB">
        <w:rPr>
          <w:b/>
          <w:bCs/>
          <w:noProof/>
        </w:rPr>
        <w:t>Члан - Neni</w:t>
      </w:r>
      <w:r w:rsidRPr="00EE50FB">
        <w:rPr>
          <w:b/>
          <w:bCs/>
          <w:i/>
          <w:noProof/>
        </w:rPr>
        <w:t xml:space="preserve"> </w:t>
      </w:r>
      <w:r w:rsidRPr="00EE50FB">
        <w:rPr>
          <w:b/>
          <w:bCs/>
          <w:noProof/>
        </w:rPr>
        <w:t>36</w:t>
      </w:r>
      <w:r w:rsidRPr="00EE50FB">
        <w:rPr>
          <w:b/>
          <w:bCs/>
          <w:i/>
          <w:noProof/>
        </w:rPr>
        <w:t>.</w:t>
      </w:r>
    </w:p>
    <w:p w:rsidR="00C354E5" w:rsidRPr="00EE50FB" w:rsidRDefault="00C354E5" w:rsidP="00C354E5">
      <w:pPr>
        <w:ind w:firstLine="708"/>
        <w:jc w:val="both"/>
        <w:rPr>
          <w:noProof/>
        </w:rPr>
      </w:pPr>
      <w:r w:rsidRPr="00EE50FB">
        <w:rPr>
          <w:noProof/>
        </w:rPr>
        <w:t>Ова одлука ступа на снагу осмог дана од дана објављивања у „Сл. гласнику Општине Бујановац“ а примењиваће се од 01.01.20</w:t>
      </w:r>
      <w:r w:rsidR="00790A45">
        <w:rPr>
          <w:noProof/>
        </w:rPr>
        <w:t>25</w:t>
      </w:r>
      <w:r w:rsidRPr="00EE50FB">
        <w:rPr>
          <w:noProof/>
        </w:rPr>
        <w:t xml:space="preserve">.године </w:t>
      </w:r>
    </w:p>
    <w:p w:rsidR="008A6B5A" w:rsidRPr="00A439D4" w:rsidRDefault="00C354E5" w:rsidP="00A439D4">
      <w:pPr>
        <w:ind w:firstLine="708"/>
        <w:jc w:val="both"/>
        <w:rPr>
          <w:bCs/>
          <w:noProof/>
        </w:rPr>
      </w:pPr>
      <w:r w:rsidRPr="00EE50FB">
        <w:rPr>
          <w:bCs/>
          <w:noProof/>
        </w:rPr>
        <w:t>Ky Vendim hyn në fuqi në ditën e tetë nga dita e shpalljes në “Fletoren zyrtare të Komunës së Bujanocit”, kurse aplikohet nga data 01.01.20</w:t>
      </w:r>
      <w:r w:rsidR="00790A45">
        <w:rPr>
          <w:bCs/>
          <w:noProof/>
        </w:rPr>
        <w:t>25</w:t>
      </w:r>
      <w:r w:rsidRPr="00EE50FB">
        <w:rPr>
          <w:bCs/>
          <w:noProof/>
        </w:rPr>
        <w:t>.</w:t>
      </w:r>
    </w:p>
    <w:p w:rsidR="008A6B5A" w:rsidRDefault="008A6B5A" w:rsidP="00B65FEC">
      <w:pPr>
        <w:shd w:val="clear" w:color="auto" w:fill="FFFFFF"/>
        <w:jc w:val="both"/>
        <w:rPr>
          <w:noProof/>
        </w:rPr>
      </w:pPr>
    </w:p>
    <w:p w:rsidR="00A439D4" w:rsidRPr="00EE50FB" w:rsidRDefault="00A439D4" w:rsidP="00B65FEC">
      <w:pPr>
        <w:shd w:val="clear" w:color="auto" w:fill="FFFFFF"/>
        <w:jc w:val="both"/>
        <w:rPr>
          <w:noProof/>
        </w:rPr>
      </w:pP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t>СКУПШТИНА ОПШТИНЕ БУЈАНОВАЦ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  <w:r w:rsidRPr="00EE50FB">
        <w:rPr>
          <w:b/>
          <w:noProof/>
        </w:rPr>
        <w:t>KUVENDI I KOMUNËS SË BUJANOCIT</w:t>
      </w:r>
    </w:p>
    <w:p w:rsidR="00B65FEC" w:rsidRPr="00EE50FB" w:rsidRDefault="00B65FEC" w:rsidP="00B65FEC">
      <w:pPr>
        <w:shd w:val="clear" w:color="auto" w:fill="FFFFFF"/>
        <w:jc w:val="center"/>
        <w:rPr>
          <w:b/>
          <w:noProof/>
        </w:rPr>
      </w:pPr>
    </w:p>
    <w:p w:rsidR="00B65FEC" w:rsidRPr="00EE50FB" w:rsidRDefault="00B65FEC" w:rsidP="00A439D4">
      <w:pPr>
        <w:shd w:val="clear" w:color="auto" w:fill="FFFFFF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b/>
          <w:noProof/>
        </w:rPr>
      </w:pPr>
    </w:p>
    <w:p w:rsidR="00B65FEC" w:rsidRPr="00EE50FB" w:rsidRDefault="00B65FEC" w:rsidP="00B65FEC">
      <w:pPr>
        <w:shd w:val="clear" w:color="auto" w:fill="FFFFFF"/>
        <w:jc w:val="both"/>
        <w:rPr>
          <w:b/>
          <w:noProof/>
        </w:rPr>
      </w:pPr>
      <w:r w:rsidRPr="00EE50FB">
        <w:rPr>
          <w:b/>
          <w:noProof/>
        </w:rPr>
        <w:t>Бр.- Nr</w:t>
      </w:r>
      <w:r w:rsidR="00DF4332" w:rsidRPr="00EE50FB">
        <w:rPr>
          <w:b/>
          <w:noProof/>
        </w:rPr>
        <w:t>.:</w:t>
      </w:r>
      <w:r w:rsidR="002C2B72">
        <w:rPr>
          <w:b/>
          <w:noProof/>
          <w:lang/>
        </w:rPr>
        <w:t>02-284/2024</w:t>
      </w:r>
      <w:r w:rsidR="00DF4332" w:rsidRPr="00EE50FB">
        <w:rPr>
          <w:b/>
          <w:noProof/>
        </w:rPr>
        <w:t xml:space="preserve">                  </w:t>
      </w:r>
      <w:r w:rsidRPr="00EE50FB">
        <w:rPr>
          <w:b/>
          <w:noProof/>
        </w:rPr>
        <w:t xml:space="preserve">              </w:t>
      </w:r>
      <w:r w:rsidR="002C1E6B" w:rsidRPr="00EE50FB">
        <w:rPr>
          <w:b/>
          <w:noProof/>
        </w:rPr>
        <w:t xml:space="preserve">             </w:t>
      </w:r>
      <w:r w:rsidRPr="00EE50FB">
        <w:rPr>
          <w:b/>
          <w:noProof/>
        </w:rPr>
        <w:t xml:space="preserve"> ПРЕДСЕДНИК- KRYETAR</w:t>
      </w:r>
    </w:p>
    <w:p w:rsidR="00B65FEC" w:rsidRPr="00EE50FB" w:rsidRDefault="00B65FEC" w:rsidP="00B65FEC">
      <w:pPr>
        <w:shd w:val="clear" w:color="auto" w:fill="FFFFFF"/>
        <w:jc w:val="both"/>
        <w:rPr>
          <w:b/>
          <w:noProof/>
        </w:rPr>
      </w:pPr>
      <w:r w:rsidRPr="00EE50FB">
        <w:rPr>
          <w:b/>
          <w:noProof/>
        </w:rPr>
        <w:t xml:space="preserve">                                                                          </w:t>
      </w:r>
      <w:r w:rsidR="002C2B71" w:rsidRPr="00EE50FB">
        <w:rPr>
          <w:b/>
          <w:noProof/>
        </w:rPr>
        <w:t xml:space="preserve">                    </w:t>
      </w:r>
      <w:r w:rsidR="00790A45">
        <w:rPr>
          <w:b/>
          <w:noProof/>
        </w:rPr>
        <w:t>Driton Rexhepi</w:t>
      </w:r>
    </w:p>
    <w:p w:rsidR="00B9453C" w:rsidRPr="00EE50FB" w:rsidRDefault="00B9453C">
      <w:pPr>
        <w:rPr>
          <w:noProof/>
        </w:rPr>
      </w:pPr>
    </w:p>
    <w:sectPr w:rsidR="00B9453C" w:rsidRPr="00EE50FB" w:rsidSect="00C139DA">
      <w:footerReference w:type="default" r:id="rId8"/>
      <w:pgSz w:w="12240" w:h="15840"/>
      <w:pgMar w:top="153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06" w:rsidRDefault="00614B06" w:rsidP="00B65FEC">
      <w:r>
        <w:separator/>
      </w:r>
    </w:p>
  </w:endnote>
  <w:endnote w:type="continuationSeparator" w:id="1">
    <w:p w:rsidR="00614B06" w:rsidRDefault="00614B06" w:rsidP="00B6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9338"/>
      <w:docPartObj>
        <w:docPartGallery w:val="Page Numbers (Bottom of Page)"/>
        <w:docPartUnique/>
      </w:docPartObj>
    </w:sdtPr>
    <w:sdtContent>
      <w:p w:rsidR="00E35A95" w:rsidRDefault="008D06C4">
        <w:pPr>
          <w:pStyle w:val="Footer"/>
          <w:jc w:val="center"/>
        </w:pPr>
        <w:fldSimple w:instr=" PAGE   \* MERGEFORMAT ">
          <w:r w:rsidR="002C2B72">
            <w:rPr>
              <w:noProof/>
            </w:rPr>
            <w:t>20</w:t>
          </w:r>
        </w:fldSimple>
      </w:p>
    </w:sdtContent>
  </w:sdt>
  <w:p w:rsidR="00E35A95" w:rsidRDefault="00E35A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06" w:rsidRDefault="00614B06" w:rsidP="00B65FEC">
      <w:r>
        <w:separator/>
      </w:r>
    </w:p>
  </w:footnote>
  <w:footnote w:type="continuationSeparator" w:id="1">
    <w:p w:rsidR="00614B06" w:rsidRDefault="00614B06" w:rsidP="00B65FEC">
      <w:r>
        <w:continuationSeparator/>
      </w:r>
    </w:p>
  </w:footnote>
  <w:footnote w:id="2">
    <w:p w:rsidR="00E35A95" w:rsidRPr="00595BE3" w:rsidRDefault="00E35A95" w:rsidP="00B65FEC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E7A"/>
    <w:multiLevelType w:val="hybridMultilevel"/>
    <w:tmpl w:val="B6D46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9434C"/>
    <w:multiLevelType w:val="hybridMultilevel"/>
    <w:tmpl w:val="672A55C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E73A0"/>
    <w:multiLevelType w:val="hybridMultilevel"/>
    <w:tmpl w:val="61902512"/>
    <w:lvl w:ilvl="0" w:tplc="45F4101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762AF"/>
    <w:multiLevelType w:val="hybridMultilevel"/>
    <w:tmpl w:val="ADDA169C"/>
    <w:lvl w:ilvl="0" w:tplc="041A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001FD"/>
    <w:multiLevelType w:val="hybridMultilevel"/>
    <w:tmpl w:val="AC826E5A"/>
    <w:lvl w:ilvl="0" w:tplc="3EC69A36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A0113C8"/>
    <w:multiLevelType w:val="hybridMultilevel"/>
    <w:tmpl w:val="07D6E648"/>
    <w:lvl w:ilvl="0" w:tplc="D87CC4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80F95"/>
    <w:multiLevelType w:val="hybridMultilevel"/>
    <w:tmpl w:val="6A9452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65FF"/>
    <w:multiLevelType w:val="hybridMultilevel"/>
    <w:tmpl w:val="8DBE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50C8"/>
    <w:multiLevelType w:val="hybridMultilevel"/>
    <w:tmpl w:val="25FCB4A0"/>
    <w:lvl w:ilvl="0" w:tplc="475E75F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C66BD4"/>
    <w:multiLevelType w:val="hybridMultilevel"/>
    <w:tmpl w:val="C980DDFA"/>
    <w:lvl w:ilvl="0" w:tplc="779AF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B43A50"/>
    <w:multiLevelType w:val="hybridMultilevel"/>
    <w:tmpl w:val="DB2E2948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A66"/>
    <w:multiLevelType w:val="hybridMultilevel"/>
    <w:tmpl w:val="7686662C"/>
    <w:lvl w:ilvl="0" w:tplc="B338E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4643E2"/>
    <w:multiLevelType w:val="hybridMultilevel"/>
    <w:tmpl w:val="21A04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FEC"/>
    <w:rsid w:val="00012592"/>
    <w:rsid w:val="0001603E"/>
    <w:rsid w:val="00022859"/>
    <w:rsid w:val="0003193F"/>
    <w:rsid w:val="00035CBB"/>
    <w:rsid w:val="000402D4"/>
    <w:rsid w:val="0005369B"/>
    <w:rsid w:val="0006131C"/>
    <w:rsid w:val="0006286A"/>
    <w:rsid w:val="00077FFD"/>
    <w:rsid w:val="000869B8"/>
    <w:rsid w:val="000927CD"/>
    <w:rsid w:val="00093AC8"/>
    <w:rsid w:val="000B2E93"/>
    <w:rsid w:val="000B66AA"/>
    <w:rsid w:val="000C6926"/>
    <w:rsid w:val="000D327D"/>
    <w:rsid w:val="000F5304"/>
    <w:rsid w:val="00100A8F"/>
    <w:rsid w:val="001071CB"/>
    <w:rsid w:val="00111A63"/>
    <w:rsid w:val="00113DD8"/>
    <w:rsid w:val="00114D6A"/>
    <w:rsid w:val="00116145"/>
    <w:rsid w:val="00126E36"/>
    <w:rsid w:val="00130A7B"/>
    <w:rsid w:val="00130FF9"/>
    <w:rsid w:val="00171382"/>
    <w:rsid w:val="001A3E36"/>
    <w:rsid w:val="001C001B"/>
    <w:rsid w:val="001C3E20"/>
    <w:rsid w:val="001C7D01"/>
    <w:rsid w:val="0022682C"/>
    <w:rsid w:val="00240121"/>
    <w:rsid w:val="00242997"/>
    <w:rsid w:val="002519DE"/>
    <w:rsid w:val="00257C7F"/>
    <w:rsid w:val="00263D7B"/>
    <w:rsid w:val="00286089"/>
    <w:rsid w:val="00291A87"/>
    <w:rsid w:val="00294F20"/>
    <w:rsid w:val="00295189"/>
    <w:rsid w:val="002C1B3D"/>
    <w:rsid w:val="002C1E6B"/>
    <w:rsid w:val="002C2B71"/>
    <w:rsid w:val="002C2B72"/>
    <w:rsid w:val="002E42C1"/>
    <w:rsid w:val="002F0215"/>
    <w:rsid w:val="002F12CC"/>
    <w:rsid w:val="002F17B3"/>
    <w:rsid w:val="00312137"/>
    <w:rsid w:val="00313770"/>
    <w:rsid w:val="00314623"/>
    <w:rsid w:val="00315000"/>
    <w:rsid w:val="003338DE"/>
    <w:rsid w:val="00341DB0"/>
    <w:rsid w:val="003427D3"/>
    <w:rsid w:val="00344933"/>
    <w:rsid w:val="00350BC1"/>
    <w:rsid w:val="00352268"/>
    <w:rsid w:val="003547C3"/>
    <w:rsid w:val="00356E88"/>
    <w:rsid w:val="00363351"/>
    <w:rsid w:val="0036661E"/>
    <w:rsid w:val="0037467D"/>
    <w:rsid w:val="00374AB1"/>
    <w:rsid w:val="00384687"/>
    <w:rsid w:val="00385A14"/>
    <w:rsid w:val="00385B9E"/>
    <w:rsid w:val="003936A3"/>
    <w:rsid w:val="003A4A9E"/>
    <w:rsid w:val="003B4ABC"/>
    <w:rsid w:val="003E3B60"/>
    <w:rsid w:val="003F722C"/>
    <w:rsid w:val="00401A00"/>
    <w:rsid w:val="00410C6B"/>
    <w:rsid w:val="00413791"/>
    <w:rsid w:val="00415D55"/>
    <w:rsid w:val="00421A2C"/>
    <w:rsid w:val="00437047"/>
    <w:rsid w:val="00461F29"/>
    <w:rsid w:val="00464906"/>
    <w:rsid w:val="0046559C"/>
    <w:rsid w:val="00467452"/>
    <w:rsid w:val="004752DC"/>
    <w:rsid w:val="00493D22"/>
    <w:rsid w:val="004A0F54"/>
    <w:rsid w:val="004A2BBE"/>
    <w:rsid w:val="00522CA8"/>
    <w:rsid w:val="00531D87"/>
    <w:rsid w:val="00557C9A"/>
    <w:rsid w:val="00560322"/>
    <w:rsid w:val="00583DD0"/>
    <w:rsid w:val="00593FF7"/>
    <w:rsid w:val="0059708C"/>
    <w:rsid w:val="005B24F9"/>
    <w:rsid w:val="005B355F"/>
    <w:rsid w:val="005B7BA8"/>
    <w:rsid w:val="005C5813"/>
    <w:rsid w:val="005D35EF"/>
    <w:rsid w:val="005F20E3"/>
    <w:rsid w:val="005F3A12"/>
    <w:rsid w:val="00604601"/>
    <w:rsid w:val="00612BA3"/>
    <w:rsid w:val="00614B06"/>
    <w:rsid w:val="006234A3"/>
    <w:rsid w:val="006318AA"/>
    <w:rsid w:val="00642191"/>
    <w:rsid w:val="00651E5C"/>
    <w:rsid w:val="0065718D"/>
    <w:rsid w:val="00666D8F"/>
    <w:rsid w:val="0067714C"/>
    <w:rsid w:val="0068258C"/>
    <w:rsid w:val="006934FF"/>
    <w:rsid w:val="00694A7A"/>
    <w:rsid w:val="006C1F54"/>
    <w:rsid w:val="006C2521"/>
    <w:rsid w:val="006C3B6A"/>
    <w:rsid w:val="006C5FF3"/>
    <w:rsid w:val="006D0AE1"/>
    <w:rsid w:val="006D0CC3"/>
    <w:rsid w:val="006E12BD"/>
    <w:rsid w:val="00713711"/>
    <w:rsid w:val="00732327"/>
    <w:rsid w:val="00745F9E"/>
    <w:rsid w:val="00764D54"/>
    <w:rsid w:val="007722BF"/>
    <w:rsid w:val="00790A45"/>
    <w:rsid w:val="00793267"/>
    <w:rsid w:val="007A2BC7"/>
    <w:rsid w:val="007A4913"/>
    <w:rsid w:val="007B774F"/>
    <w:rsid w:val="007C4A57"/>
    <w:rsid w:val="007D6380"/>
    <w:rsid w:val="007E037B"/>
    <w:rsid w:val="007E0CFE"/>
    <w:rsid w:val="007F44E7"/>
    <w:rsid w:val="008100B8"/>
    <w:rsid w:val="00821244"/>
    <w:rsid w:val="00834DC3"/>
    <w:rsid w:val="00842297"/>
    <w:rsid w:val="008433AF"/>
    <w:rsid w:val="00873275"/>
    <w:rsid w:val="008771FD"/>
    <w:rsid w:val="008905EA"/>
    <w:rsid w:val="008928DD"/>
    <w:rsid w:val="008A6B5A"/>
    <w:rsid w:val="008B6E68"/>
    <w:rsid w:val="008D06C4"/>
    <w:rsid w:val="008D21D4"/>
    <w:rsid w:val="008D5759"/>
    <w:rsid w:val="008F30A8"/>
    <w:rsid w:val="0090474C"/>
    <w:rsid w:val="0093361F"/>
    <w:rsid w:val="00940592"/>
    <w:rsid w:val="00946AFA"/>
    <w:rsid w:val="00967F19"/>
    <w:rsid w:val="00987969"/>
    <w:rsid w:val="009914AD"/>
    <w:rsid w:val="009B039F"/>
    <w:rsid w:val="009B3F6B"/>
    <w:rsid w:val="009B6A66"/>
    <w:rsid w:val="009C7650"/>
    <w:rsid w:val="009E28EB"/>
    <w:rsid w:val="009F35A1"/>
    <w:rsid w:val="009F42FE"/>
    <w:rsid w:val="009F6A35"/>
    <w:rsid w:val="00A00521"/>
    <w:rsid w:val="00A01F32"/>
    <w:rsid w:val="00A038B3"/>
    <w:rsid w:val="00A0592D"/>
    <w:rsid w:val="00A059C5"/>
    <w:rsid w:val="00A06469"/>
    <w:rsid w:val="00A07DD6"/>
    <w:rsid w:val="00A14ED7"/>
    <w:rsid w:val="00A320EC"/>
    <w:rsid w:val="00A323D5"/>
    <w:rsid w:val="00A37466"/>
    <w:rsid w:val="00A439D4"/>
    <w:rsid w:val="00A514AC"/>
    <w:rsid w:val="00A5212D"/>
    <w:rsid w:val="00A83F78"/>
    <w:rsid w:val="00A84965"/>
    <w:rsid w:val="00A97860"/>
    <w:rsid w:val="00AA42A4"/>
    <w:rsid w:val="00AB32FA"/>
    <w:rsid w:val="00AB5FE5"/>
    <w:rsid w:val="00AC21AF"/>
    <w:rsid w:val="00AC788E"/>
    <w:rsid w:val="00AD0DF0"/>
    <w:rsid w:val="00AD3115"/>
    <w:rsid w:val="00AE59F8"/>
    <w:rsid w:val="00AF231B"/>
    <w:rsid w:val="00AF5E78"/>
    <w:rsid w:val="00B07D5E"/>
    <w:rsid w:val="00B47CBB"/>
    <w:rsid w:val="00B54736"/>
    <w:rsid w:val="00B6229F"/>
    <w:rsid w:val="00B62DB4"/>
    <w:rsid w:val="00B65FEC"/>
    <w:rsid w:val="00B8691A"/>
    <w:rsid w:val="00B9453C"/>
    <w:rsid w:val="00BA4E4D"/>
    <w:rsid w:val="00BC56AA"/>
    <w:rsid w:val="00BC73BC"/>
    <w:rsid w:val="00BD3E14"/>
    <w:rsid w:val="00C139DA"/>
    <w:rsid w:val="00C31088"/>
    <w:rsid w:val="00C31556"/>
    <w:rsid w:val="00C354E5"/>
    <w:rsid w:val="00C47318"/>
    <w:rsid w:val="00C534D6"/>
    <w:rsid w:val="00C56C89"/>
    <w:rsid w:val="00C7748D"/>
    <w:rsid w:val="00C901FD"/>
    <w:rsid w:val="00CA535B"/>
    <w:rsid w:val="00CB3E2E"/>
    <w:rsid w:val="00CC0DE6"/>
    <w:rsid w:val="00CD36C9"/>
    <w:rsid w:val="00CE0DB2"/>
    <w:rsid w:val="00CE4621"/>
    <w:rsid w:val="00CF56CE"/>
    <w:rsid w:val="00CF7E5A"/>
    <w:rsid w:val="00D034ED"/>
    <w:rsid w:val="00D16940"/>
    <w:rsid w:val="00D17100"/>
    <w:rsid w:val="00D2026D"/>
    <w:rsid w:val="00D217D4"/>
    <w:rsid w:val="00D302C1"/>
    <w:rsid w:val="00D469A4"/>
    <w:rsid w:val="00D53F40"/>
    <w:rsid w:val="00D645B0"/>
    <w:rsid w:val="00D70FBA"/>
    <w:rsid w:val="00D75E42"/>
    <w:rsid w:val="00D93D53"/>
    <w:rsid w:val="00DA4F4D"/>
    <w:rsid w:val="00DB4907"/>
    <w:rsid w:val="00DB71C1"/>
    <w:rsid w:val="00DD36D7"/>
    <w:rsid w:val="00DD5134"/>
    <w:rsid w:val="00DE6B83"/>
    <w:rsid w:val="00DF3107"/>
    <w:rsid w:val="00DF4332"/>
    <w:rsid w:val="00E04384"/>
    <w:rsid w:val="00E1145E"/>
    <w:rsid w:val="00E21E2E"/>
    <w:rsid w:val="00E25E8A"/>
    <w:rsid w:val="00E32B63"/>
    <w:rsid w:val="00E35A95"/>
    <w:rsid w:val="00E35CFF"/>
    <w:rsid w:val="00E50BBB"/>
    <w:rsid w:val="00E560F9"/>
    <w:rsid w:val="00E73C7F"/>
    <w:rsid w:val="00E75023"/>
    <w:rsid w:val="00E85D27"/>
    <w:rsid w:val="00E90CBC"/>
    <w:rsid w:val="00E91C38"/>
    <w:rsid w:val="00EB7AFD"/>
    <w:rsid w:val="00ED1090"/>
    <w:rsid w:val="00EE50FB"/>
    <w:rsid w:val="00EF4FA5"/>
    <w:rsid w:val="00F1245A"/>
    <w:rsid w:val="00F276F9"/>
    <w:rsid w:val="00F37AA8"/>
    <w:rsid w:val="00F82374"/>
    <w:rsid w:val="00F82ABB"/>
    <w:rsid w:val="00F9114B"/>
    <w:rsid w:val="00F93450"/>
    <w:rsid w:val="00FA2696"/>
    <w:rsid w:val="00FA51B0"/>
    <w:rsid w:val="00FA6D61"/>
    <w:rsid w:val="00FC0104"/>
    <w:rsid w:val="00FC31CD"/>
    <w:rsid w:val="00FD2C5A"/>
    <w:rsid w:val="00FE13C0"/>
    <w:rsid w:val="00FF208F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3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ormal"/>
    <w:rsid w:val="00B65FE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B65FEC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rsid w:val="00B65F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5FEC"/>
    <w:pPr>
      <w:ind w:left="708"/>
    </w:pPr>
  </w:style>
  <w:style w:type="paragraph" w:styleId="FootnoteText">
    <w:name w:val="footnote text"/>
    <w:basedOn w:val="Normal"/>
    <w:link w:val="FootnoteTextChar"/>
    <w:rsid w:val="00B65FEC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5FEC"/>
    <w:rPr>
      <w:rFonts w:ascii="Arial" w:eastAsia="Times New Roman" w:hAnsi="Arial" w:cs="Times New Roman"/>
      <w:sz w:val="20"/>
      <w:szCs w:val="20"/>
    </w:rPr>
  </w:style>
  <w:style w:type="paragraph" w:customStyle="1" w:styleId="clan">
    <w:name w:val="clan"/>
    <w:basedOn w:val="Normal"/>
    <w:rsid w:val="00B65FEC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B65FE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1">
    <w:name w:val="Normal1"/>
    <w:basedOn w:val="Normal"/>
    <w:rsid w:val="00B65FEC"/>
    <w:pPr>
      <w:spacing w:before="100" w:beforeAutospacing="1" w:after="100" w:afterAutospacing="1"/>
    </w:pPr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aliases w:val=" uvlaka 3"/>
    <w:basedOn w:val="Normal"/>
    <w:link w:val="BodyTextIndent3Char"/>
    <w:rsid w:val="00130A7B"/>
    <w:pPr>
      <w:ind w:left="545"/>
      <w:jc w:val="both"/>
    </w:pPr>
    <w:rPr>
      <w:sz w:val="20"/>
      <w:lang w:eastAsia="hr-HR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130A7B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rsid w:val="00130A7B"/>
    <w:pPr>
      <w:jc w:val="both"/>
    </w:pPr>
    <w:rPr>
      <w:sz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130A7B"/>
    <w:rPr>
      <w:rFonts w:ascii="Times New Roman" w:eastAsia="Times New Roman" w:hAnsi="Times New Roman" w:cs="Times New Roman"/>
      <w:sz w:val="20"/>
      <w:szCs w:val="24"/>
      <w:lang w:val="de-DE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2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2C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82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AB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A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0BDB-1426-4312-B8F7-FB35808E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20</Pages>
  <Words>6660</Words>
  <Characters>37966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BASRIJA</dc:creator>
  <cp:lastModifiedBy>op</cp:lastModifiedBy>
  <cp:revision>237</cp:revision>
  <cp:lastPrinted>2023-10-16T12:10:00Z</cp:lastPrinted>
  <dcterms:created xsi:type="dcterms:W3CDTF">2015-12-01T11:33:00Z</dcterms:created>
  <dcterms:modified xsi:type="dcterms:W3CDTF">2024-12-30T07:37:00Z</dcterms:modified>
</cp:coreProperties>
</file>