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B7" w:rsidRPr="00FE3CBF" w:rsidRDefault="00AD24B7" w:rsidP="00A57695">
      <w:pPr>
        <w:spacing w:after="0" w:line="240" w:lineRule="auto"/>
      </w:pPr>
    </w:p>
    <w:p w:rsidR="0049202B" w:rsidRDefault="0049202B" w:rsidP="00A57695">
      <w:pPr>
        <w:tabs>
          <w:tab w:val="left" w:pos="6344"/>
        </w:tabs>
        <w:spacing w:after="0" w:line="240" w:lineRule="auto"/>
        <w:jc w:val="center"/>
        <w:rPr>
          <w:rFonts w:ascii="Times New Roman" w:hAnsi="Times New Roman"/>
          <w:b/>
        </w:rPr>
        <w:sectPr w:rsidR="0049202B" w:rsidSect="00123516">
          <w:pgSz w:w="11909" w:h="16834" w:code="9"/>
          <w:pgMar w:top="1440" w:right="1440" w:bottom="900" w:left="1440" w:header="720" w:footer="0" w:gutter="0"/>
          <w:cols w:num="2" w:space="720"/>
          <w:docGrid w:linePitch="360"/>
        </w:sectPr>
      </w:pPr>
    </w:p>
    <w:p w:rsidR="0049202B" w:rsidRDefault="0049202B" w:rsidP="00A57695">
      <w:pPr>
        <w:pStyle w:val="BodyText"/>
        <w:ind w:firstLine="720"/>
        <w:jc w:val="both"/>
        <w:rPr>
          <w:sz w:val="22"/>
          <w:szCs w:val="22"/>
          <w:lang w:val="hr-BA"/>
        </w:rPr>
      </w:pPr>
      <w:r w:rsidRPr="00CB554C">
        <w:rPr>
          <w:sz w:val="22"/>
          <w:szCs w:val="22"/>
          <w:lang w:val="sr-Cyrl-CS"/>
        </w:rPr>
        <w:lastRenderedPageBreak/>
        <w:t xml:space="preserve">На основу члана </w:t>
      </w:r>
      <w:r w:rsidRPr="00CB554C">
        <w:rPr>
          <w:sz w:val="22"/>
          <w:szCs w:val="22"/>
        </w:rPr>
        <w:t>11</w:t>
      </w:r>
      <w:r w:rsidRPr="00CB554C">
        <w:rPr>
          <w:sz w:val="22"/>
          <w:szCs w:val="22"/>
          <w:lang w:val="sr-Cyrl-CS"/>
        </w:rPr>
        <w:t xml:space="preserve">. </w:t>
      </w:r>
      <w:proofErr w:type="gramStart"/>
      <w:r w:rsidRPr="00CB554C">
        <w:rPr>
          <w:sz w:val="22"/>
          <w:szCs w:val="22"/>
        </w:rPr>
        <w:t>и</w:t>
      </w:r>
      <w:proofErr w:type="gramEnd"/>
      <w:r w:rsidRPr="00CB554C">
        <w:rPr>
          <w:sz w:val="22"/>
          <w:szCs w:val="22"/>
        </w:rPr>
        <w:t xml:space="preserve"> члана 18. </w:t>
      </w:r>
      <w:r w:rsidRPr="00CB554C">
        <w:rPr>
          <w:sz w:val="22"/>
          <w:szCs w:val="22"/>
          <w:lang w:val="sr-Cyrl-CS"/>
        </w:rPr>
        <w:t>Закона о</w:t>
      </w:r>
      <w:r w:rsidRPr="00CB554C">
        <w:rPr>
          <w:sz w:val="22"/>
          <w:szCs w:val="22"/>
        </w:rPr>
        <w:t xml:space="preserve"> финансирању</w:t>
      </w:r>
      <w:r w:rsidRPr="00CB554C">
        <w:rPr>
          <w:sz w:val="22"/>
          <w:szCs w:val="22"/>
          <w:lang w:val="sr-Cyrl-CS"/>
        </w:rPr>
        <w:t xml:space="preserve"> локалн</w:t>
      </w:r>
      <w:r w:rsidRPr="00CB554C">
        <w:rPr>
          <w:sz w:val="22"/>
          <w:szCs w:val="22"/>
        </w:rPr>
        <w:t>е</w:t>
      </w:r>
      <w:r w:rsidRPr="00CB554C">
        <w:rPr>
          <w:sz w:val="22"/>
          <w:szCs w:val="22"/>
          <w:lang w:val="sr-Cyrl-CS"/>
        </w:rPr>
        <w:t xml:space="preserve"> самоуправ</w:t>
      </w:r>
      <w:r w:rsidRPr="00CB554C">
        <w:rPr>
          <w:sz w:val="22"/>
          <w:szCs w:val="22"/>
        </w:rPr>
        <w:t>е</w:t>
      </w:r>
      <w:r w:rsidRPr="00CB554C">
        <w:rPr>
          <w:sz w:val="22"/>
          <w:szCs w:val="22"/>
          <w:lang w:val="sr-Cyrl-CS"/>
        </w:rPr>
        <w:t xml:space="preserve"> (</w:t>
      </w:r>
      <w:r w:rsidRPr="00CB554C">
        <w:rPr>
          <w:sz w:val="22"/>
          <w:szCs w:val="22"/>
        </w:rPr>
        <w:t>“</w:t>
      </w:r>
      <w:r w:rsidRPr="00CB554C">
        <w:rPr>
          <w:sz w:val="22"/>
          <w:szCs w:val="22"/>
          <w:lang w:val="sr-Cyrl-CS"/>
        </w:rPr>
        <w:t>Службени гласник РС</w:t>
      </w:r>
      <w:r w:rsidRPr="00CB554C">
        <w:rPr>
          <w:sz w:val="22"/>
          <w:szCs w:val="22"/>
        </w:rPr>
        <w:t>”</w:t>
      </w:r>
      <w:r w:rsidRPr="00CB554C">
        <w:rPr>
          <w:sz w:val="22"/>
          <w:szCs w:val="22"/>
          <w:lang w:val="sr-Cyrl-CS"/>
        </w:rPr>
        <w:t xml:space="preserve">, бр. </w:t>
      </w:r>
      <w:proofErr w:type="gramStart"/>
      <w:r w:rsidRPr="00CB554C">
        <w:rPr>
          <w:sz w:val="22"/>
          <w:szCs w:val="22"/>
        </w:rPr>
        <w:t>62/06, 47/11, 93/12, 99/13 – усклађени дин.</w:t>
      </w:r>
      <w:proofErr w:type="gramEnd"/>
      <w:r w:rsidRPr="00CB554C">
        <w:rPr>
          <w:sz w:val="22"/>
          <w:szCs w:val="22"/>
        </w:rPr>
        <w:t xml:space="preserve"> </w:t>
      </w:r>
      <w:proofErr w:type="gramStart"/>
      <w:r w:rsidRPr="00CB554C">
        <w:rPr>
          <w:sz w:val="22"/>
          <w:szCs w:val="22"/>
        </w:rPr>
        <w:t>изн</w:t>
      </w:r>
      <w:proofErr w:type="gramEnd"/>
      <w:r w:rsidRPr="00CB554C">
        <w:rPr>
          <w:sz w:val="22"/>
          <w:szCs w:val="22"/>
        </w:rPr>
        <w:t xml:space="preserve">, 125/2014 – усклађени дин. </w:t>
      </w:r>
      <w:proofErr w:type="gramStart"/>
      <w:r w:rsidRPr="00CB554C">
        <w:rPr>
          <w:sz w:val="22"/>
          <w:szCs w:val="22"/>
        </w:rPr>
        <w:t>изн</w:t>
      </w:r>
      <w:proofErr w:type="gramEnd"/>
      <w:r w:rsidRPr="00CB554C">
        <w:rPr>
          <w:sz w:val="22"/>
          <w:szCs w:val="22"/>
        </w:rPr>
        <w:t xml:space="preserve">, 95/2015 – дин. </w:t>
      </w:r>
      <w:proofErr w:type="gramStart"/>
      <w:r w:rsidRPr="00CB554C">
        <w:rPr>
          <w:sz w:val="22"/>
          <w:szCs w:val="22"/>
        </w:rPr>
        <w:t>изн</w:t>
      </w:r>
      <w:proofErr w:type="gramEnd"/>
      <w:r w:rsidRPr="00CB554C">
        <w:rPr>
          <w:sz w:val="22"/>
          <w:szCs w:val="22"/>
        </w:rPr>
        <w:t xml:space="preserve">, 83/2016, 91/2016 – усклађени дин. </w:t>
      </w:r>
      <w:proofErr w:type="gramStart"/>
      <w:r w:rsidRPr="00CB554C">
        <w:rPr>
          <w:sz w:val="22"/>
          <w:szCs w:val="22"/>
        </w:rPr>
        <w:t>изн</w:t>
      </w:r>
      <w:proofErr w:type="gramEnd"/>
      <w:r w:rsidRPr="00CB554C">
        <w:rPr>
          <w:sz w:val="22"/>
          <w:szCs w:val="22"/>
        </w:rPr>
        <w:t xml:space="preserve">, 104/2016, 96/2017, 89/2018, 95/2018 – др. </w:t>
      </w:r>
      <w:proofErr w:type="gramStart"/>
      <w:r w:rsidRPr="00CB554C">
        <w:rPr>
          <w:sz w:val="22"/>
          <w:szCs w:val="22"/>
        </w:rPr>
        <w:t>Закон, 86/2019 – усклађени дин.</w:t>
      </w:r>
      <w:proofErr w:type="gramEnd"/>
      <w:r w:rsidRPr="00CB554C">
        <w:rPr>
          <w:sz w:val="22"/>
          <w:szCs w:val="22"/>
        </w:rPr>
        <w:t xml:space="preserve"> </w:t>
      </w:r>
      <w:proofErr w:type="gramStart"/>
      <w:r w:rsidRPr="00CB554C">
        <w:rPr>
          <w:sz w:val="22"/>
          <w:szCs w:val="22"/>
        </w:rPr>
        <w:t>изн</w:t>
      </w:r>
      <w:proofErr w:type="gramEnd"/>
      <w:r w:rsidRPr="00CB554C">
        <w:rPr>
          <w:sz w:val="22"/>
          <w:szCs w:val="22"/>
        </w:rPr>
        <w:t xml:space="preserve">, 126/2020 – усклађени дин. </w:t>
      </w:r>
      <w:proofErr w:type="gramStart"/>
      <w:r w:rsidRPr="00CB554C">
        <w:rPr>
          <w:sz w:val="22"/>
          <w:szCs w:val="22"/>
        </w:rPr>
        <w:t>изн</w:t>
      </w:r>
      <w:proofErr w:type="gramEnd"/>
      <w:r w:rsidRPr="00CB554C">
        <w:rPr>
          <w:sz w:val="22"/>
          <w:szCs w:val="22"/>
        </w:rPr>
        <w:t xml:space="preserve">. </w:t>
      </w:r>
      <w:proofErr w:type="gramStart"/>
      <w:r w:rsidRPr="00CB554C">
        <w:rPr>
          <w:sz w:val="22"/>
          <w:szCs w:val="22"/>
        </w:rPr>
        <w:t>и</w:t>
      </w:r>
      <w:proofErr w:type="gramEnd"/>
      <w:r w:rsidRPr="00CB554C">
        <w:rPr>
          <w:sz w:val="22"/>
          <w:szCs w:val="22"/>
        </w:rPr>
        <w:t xml:space="preserve"> 99/2021</w:t>
      </w:r>
      <w:r w:rsidRPr="00CB554C">
        <w:rPr>
          <w:sz w:val="22"/>
          <w:szCs w:val="22"/>
          <w:lang w:val="sr-Cyrl-CS"/>
        </w:rPr>
        <w:t>), члана 32. став 1. тачке 3. и 13. Закона о локалној самоуправи („Сл. гласник РС“, бр. 129/2007, 83/2014 – др. закон, 101/16-др.закон и 47/18) и члана 41. став 1. тачке 3. и 40. Статута општине Бујановац (</w:t>
      </w:r>
      <w:r w:rsidRPr="00CB554C">
        <w:rPr>
          <w:sz w:val="22"/>
          <w:szCs w:val="22"/>
        </w:rPr>
        <w:t>“</w:t>
      </w:r>
      <w:r w:rsidRPr="00CB554C">
        <w:rPr>
          <w:sz w:val="22"/>
          <w:szCs w:val="22"/>
          <w:lang w:val="sr-Cyrl-CS"/>
        </w:rPr>
        <w:t>Службени гласник Општине Бујановац</w:t>
      </w:r>
      <w:r w:rsidRPr="00CB554C">
        <w:rPr>
          <w:sz w:val="22"/>
          <w:szCs w:val="22"/>
        </w:rPr>
        <w:t>”</w:t>
      </w:r>
      <w:r w:rsidRPr="00CB554C">
        <w:rPr>
          <w:sz w:val="22"/>
          <w:szCs w:val="22"/>
          <w:lang w:val="sr-Cyrl-CS"/>
        </w:rPr>
        <w:t xml:space="preserve">, бр. 5/19), Скупштина општине Бујановац на седници одржаној дана </w:t>
      </w:r>
      <w:r w:rsidR="00CF7640">
        <w:rPr>
          <w:b/>
          <w:sz w:val="22"/>
          <w:szCs w:val="22"/>
          <w:lang/>
        </w:rPr>
        <w:t>27.12</w:t>
      </w:r>
      <w:r w:rsidR="003F73FA">
        <w:rPr>
          <w:b/>
          <w:sz w:val="22"/>
          <w:szCs w:val="22"/>
        </w:rPr>
        <w:t>.202</w:t>
      </w:r>
      <w:r w:rsidR="00FE3CBF">
        <w:rPr>
          <w:b/>
          <w:sz w:val="22"/>
          <w:szCs w:val="22"/>
        </w:rPr>
        <w:t>4</w:t>
      </w:r>
      <w:r w:rsidRPr="00CF7640">
        <w:rPr>
          <w:b/>
          <w:bCs/>
          <w:iCs/>
          <w:sz w:val="22"/>
          <w:szCs w:val="22"/>
        </w:rPr>
        <w:t xml:space="preserve">. </w:t>
      </w:r>
      <w:r w:rsidRPr="00CF7640">
        <w:rPr>
          <w:b/>
          <w:bCs/>
          <w:iCs/>
          <w:sz w:val="22"/>
          <w:szCs w:val="22"/>
          <w:lang w:val="sr-Cyrl-CS"/>
        </w:rPr>
        <w:t>год.</w:t>
      </w:r>
      <w:r w:rsidR="00CF7640">
        <w:rPr>
          <w:b/>
          <w:bCs/>
          <w:iCs/>
          <w:sz w:val="22"/>
          <w:szCs w:val="22"/>
          <w:lang w:val="sr-Cyrl-CS"/>
        </w:rPr>
        <w:t xml:space="preserve"> </w:t>
      </w:r>
      <w:r w:rsidR="00FE3CBF">
        <w:rPr>
          <w:sz w:val="22"/>
          <w:szCs w:val="22"/>
          <w:lang w:val="sr-Cyrl-CS"/>
        </w:rPr>
        <w:t>д</w:t>
      </w:r>
      <w:r w:rsidRPr="00CB554C">
        <w:rPr>
          <w:sz w:val="22"/>
          <w:szCs w:val="22"/>
          <w:lang w:val="sr-Cyrl-CS"/>
        </w:rPr>
        <w:t>оноси</w:t>
      </w:r>
    </w:p>
    <w:p w:rsidR="00A57695" w:rsidRPr="00A57695" w:rsidRDefault="00A57695" w:rsidP="00A57695">
      <w:pPr>
        <w:pStyle w:val="BodyText"/>
        <w:ind w:firstLine="720"/>
        <w:jc w:val="both"/>
        <w:rPr>
          <w:sz w:val="22"/>
          <w:szCs w:val="22"/>
          <w:lang w:val="hr-BA"/>
        </w:rPr>
      </w:pPr>
    </w:p>
    <w:p w:rsidR="0049202B" w:rsidRPr="00CB554C" w:rsidRDefault="0049202B" w:rsidP="00A57695">
      <w:pPr>
        <w:pStyle w:val="BodyText"/>
        <w:ind w:firstLine="720"/>
        <w:jc w:val="both"/>
        <w:rPr>
          <w:sz w:val="22"/>
          <w:szCs w:val="22"/>
          <w:lang w:val="sq-AL"/>
        </w:rPr>
      </w:pPr>
      <w:r w:rsidRPr="00CB554C">
        <w:rPr>
          <w:sz w:val="22"/>
          <w:szCs w:val="22"/>
          <w:lang w:val="sq-AL"/>
        </w:rPr>
        <w:t>Në bazë të nenit 11 dhe nenit 18 të Ligjit mbi financimin e vetadministrimit lokal (“Gazeta zyrtare e RS”, nr.</w:t>
      </w:r>
      <w:r w:rsidRPr="00CB554C">
        <w:rPr>
          <w:sz w:val="22"/>
          <w:szCs w:val="22"/>
        </w:rPr>
        <w:t>62/06, 47/11, 93/12, 99/13 – shuma e harmonizuar në dinarë, 1125/2014 - shuma e harmonizuar në dinarë, 95/2015 - shuma e harmonizuar në dinarë ; 83/2016, 91/2016 - shuma e harmonizuar në dinarë 104/2016, 96/2017, 89/2018 dhe 95/2018 – ligji tjetër, 86/2019 – shuma e harmonizuar në dinarë. и 126/2020 – shuma e harmonizuar në dinarë.), të nenit 32 al. 1 pika 3 dhe 13 të Ligjit mbi vetadministrimin lokal (</w:t>
      </w:r>
      <w:r w:rsidRPr="00CB554C">
        <w:rPr>
          <w:sz w:val="22"/>
          <w:szCs w:val="22"/>
          <w:lang w:val="sq-AL"/>
        </w:rPr>
        <w:t xml:space="preserve">“Gazeta zyrtare e RS”, nr. </w:t>
      </w:r>
      <w:r w:rsidRPr="00CB554C">
        <w:rPr>
          <w:sz w:val="22"/>
          <w:szCs w:val="22"/>
          <w:lang w:val="sr-Cyrl-CS"/>
        </w:rPr>
        <w:t xml:space="preserve">29/2007, 83/2014 – </w:t>
      </w:r>
      <w:r w:rsidRPr="00CB554C">
        <w:rPr>
          <w:sz w:val="22"/>
          <w:szCs w:val="22"/>
          <w:lang w:val="sq-AL"/>
        </w:rPr>
        <w:t>ligji tjetër</w:t>
      </w:r>
      <w:r w:rsidRPr="00CB554C">
        <w:rPr>
          <w:sz w:val="22"/>
          <w:szCs w:val="22"/>
          <w:lang w:val="sr-Cyrl-CS"/>
        </w:rPr>
        <w:t>, 101/16-</w:t>
      </w:r>
      <w:r w:rsidRPr="00CB554C">
        <w:rPr>
          <w:sz w:val="22"/>
          <w:szCs w:val="22"/>
          <w:lang w:val="sq-AL"/>
        </w:rPr>
        <w:t xml:space="preserve"> ligji tjetër dhe</w:t>
      </w:r>
      <w:r w:rsidRPr="00CB554C">
        <w:rPr>
          <w:sz w:val="22"/>
          <w:szCs w:val="22"/>
          <w:lang w:val="sr-Cyrl-CS"/>
        </w:rPr>
        <w:t xml:space="preserve"> 47/18</w:t>
      </w:r>
      <w:r w:rsidRPr="00CB554C">
        <w:rPr>
          <w:sz w:val="22"/>
          <w:szCs w:val="22"/>
          <w:lang w:val="sq-AL"/>
        </w:rPr>
        <w:t xml:space="preserve">) dhe nenit 41. al. 1 pika 3 dhe 40 të Statutit të Komunës së Bujanocit (“Gazeta zyrtare e Komunës së Bujanocit”, nr. 5/19), Kuvendi i komunës së Bujanocit në seancën e mbajtur më </w:t>
      </w:r>
      <w:r w:rsidR="00CF7640">
        <w:rPr>
          <w:b/>
          <w:bCs/>
          <w:sz w:val="22"/>
          <w:szCs w:val="22"/>
          <w:lang/>
        </w:rPr>
        <w:t>27.12</w:t>
      </w:r>
      <w:r w:rsidRPr="00CB554C">
        <w:rPr>
          <w:b/>
          <w:bCs/>
          <w:sz w:val="22"/>
          <w:szCs w:val="22"/>
        </w:rPr>
        <w:t>.202</w:t>
      </w:r>
      <w:r w:rsidR="00FE3CBF">
        <w:rPr>
          <w:b/>
          <w:bCs/>
          <w:sz w:val="22"/>
          <w:szCs w:val="22"/>
        </w:rPr>
        <w:t>4</w:t>
      </w:r>
      <w:r w:rsidRPr="00CB554C">
        <w:rPr>
          <w:sz w:val="22"/>
          <w:szCs w:val="22"/>
          <w:lang w:val="sq-AL"/>
        </w:rPr>
        <w:t>, bie</w:t>
      </w:r>
    </w:p>
    <w:p w:rsidR="0049202B" w:rsidRPr="00CB554C" w:rsidRDefault="0049202B" w:rsidP="00A57695">
      <w:pPr>
        <w:spacing w:after="0" w:line="240" w:lineRule="auto"/>
        <w:jc w:val="both"/>
        <w:rPr>
          <w:rFonts w:ascii="Times New Roman" w:hAnsi="Times New Roman"/>
          <w:lang w:val="sr-Cyrl-CS"/>
        </w:rPr>
      </w:pPr>
    </w:p>
    <w:p w:rsidR="0049202B" w:rsidRPr="004922EE" w:rsidRDefault="0049202B" w:rsidP="00A57695">
      <w:pPr>
        <w:spacing w:after="0" w:line="240" w:lineRule="auto"/>
        <w:jc w:val="center"/>
        <w:rPr>
          <w:rFonts w:ascii="Times New Roman" w:hAnsi="Times New Roman"/>
          <w:b/>
          <w:lang w:val="sr-Cyrl-CS"/>
        </w:rPr>
      </w:pPr>
      <w:r w:rsidRPr="004922EE">
        <w:rPr>
          <w:rFonts w:ascii="Times New Roman" w:hAnsi="Times New Roman"/>
          <w:b/>
          <w:lang w:val="sr-Cyrl-CS"/>
        </w:rPr>
        <w:t>О Д Л У К У</w:t>
      </w:r>
    </w:p>
    <w:p w:rsidR="0049202B" w:rsidRPr="004922EE" w:rsidRDefault="0049202B" w:rsidP="00A57695">
      <w:pPr>
        <w:pStyle w:val="Heading2"/>
        <w:spacing w:before="0" w:after="0"/>
        <w:jc w:val="center"/>
        <w:rPr>
          <w:rFonts w:ascii="Times New Roman" w:hAnsi="Times New Roman"/>
          <w:i w:val="0"/>
          <w:sz w:val="22"/>
          <w:szCs w:val="22"/>
          <w:lang w:val="sr-Cyrl-CS"/>
        </w:rPr>
      </w:pPr>
      <w:r w:rsidRPr="004922EE">
        <w:rPr>
          <w:rFonts w:ascii="Times New Roman" w:hAnsi="Times New Roman"/>
          <w:i w:val="0"/>
          <w:sz w:val="22"/>
          <w:szCs w:val="22"/>
          <w:lang w:val="sr-Cyrl-CS"/>
        </w:rPr>
        <w:t>О ЛОКАЛНИМ КОМУНАЛНИМ ТАКСАМА ЗА 202</w:t>
      </w:r>
      <w:r w:rsidR="00FE3CBF">
        <w:rPr>
          <w:rFonts w:ascii="Times New Roman" w:hAnsi="Times New Roman"/>
          <w:i w:val="0"/>
          <w:sz w:val="22"/>
          <w:szCs w:val="22"/>
        </w:rPr>
        <w:t>5</w:t>
      </w:r>
      <w:r w:rsidRPr="004922EE">
        <w:rPr>
          <w:rFonts w:ascii="Times New Roman" w:hAnsi="Times New Roman"/>
          <w:i w:val="0"/>
          <w:sz w:val="22"/>
          <w:szCs w:val="22"/>
          <w:lang w:val="sr-Cyrl-CS"/>
        </w:rPr>
        <w:t>. ГОДИНУ</w:t>
      </w:r>
    </w:p>
    <w:p w:rsidR="00A57695" w:rsidRDefault="00A57695" w:rsidP="00A57695">
      <w:pPr>
        <w:spacing w:after="0" w:line="240" w:lineRule="auto"/>
        <w:jc w:val="center"/>
        <w:rPr>
          <w:rFonts w:ascii="Times New Roman" w:hAnsi="Times New Roman"/>
          <w:b/>
          <w:lang w:val="sq-AL"/>
        </w:rPr>
      </w:pPr>
    </w:p>
    <w:p w:rsidR="0049202B" w:rsidRPr="004922EE" w:rsidRDefault="0049202B" w:rsidP="00A57695">
      <w:pPr>
        <w:spacing w:after="0" w:line="240" w:lineRule="auto"/>
        <w:jc w:val="center"/>
        <w:rPr>
          <w:rFonts w:ascii="Times New Roman" w:hAnsi="Times New Roman"/>
          <w:b/>
          <w:lang w:val="sr-Cyrl-CS"/>
        </w:rPr>
      </w:pPr>
      <w:r w:rsidRPr="004922EE">
        <w:rPr>
          <w:rFonts w:ascii="Times New Roman" w:hAnsi="Times New Roman"/>
          <w:b/>
          <w:lang w:val="sr-Cyrl-CS"/>
        </w:rPr>
        <w:t>V E N D I M</w:t>
      </w:r>
    </w:p>
    <w:p w:rsidR="0049202B" w:rsidRPr="003F73FA" w:rsidRDefault="0049202B" w:rsidP="00A57695">
      <w:pPr>
        <w:spacing w:after="0" w:line="240" w:lineRule="auto"/>
        <w:jc w:val="center"/>
        <w:rPr>
          <w:rFonts w:ascii="Times New Roman" w:hAnsi="Times New Roman"/>
          <w:b/>
        </w:rPr>
      </w:pPr>
      <w:r w:rsidRPr="004922EE">
        <w:rPr>
          <w:rFonts w:ascii="Times New Roman" w:hAnsi="Times New Roman"/>
          <w:b/>
          <w:lang w:val="sr-Cyrl-CS"/>
        </w:rPr>
        <w:t>MBI TAKSAT LOKALE KOMUNALE PËR VITIN 20</w:t>
      </w:r>
      <w:r w:rsidR="00FE3CBF">
        <w:rPr>
          <w:rFonts w:ascii="Times New Roman" w:hAnsi="Times New Roman"/>
          <w:b/>
          <w:lang w:val="sr-Cyrl-CS"/>
        </w:rPr>
        <w:t>25</w:t>
      </w:r>
    </w:p>
    <w:p w:rsidR="0049202B" w:rsidRPr="00CB554C" w:rsidRDefault="0049202B" w:rsidP="00A57695">
      <w:pPr>
        <w:spacing w:after="0" w:line="240" w:lineRule="auto"/>
        <w:rPr>
          <w:rFonts w:ascii="Times New Roman" w:hAnsi="Times New Roman"/>
          <w:lang w:val="sr-Cyrl-CS"/>
        </w:rPr>
      </w:pPr>
    </w:p>
    <w:p w:rsidR="0049202B" w:rsidRPr="00CB554C" w:rsidRDefault="0049202B" w:rsidP="00A57695">
      <w:pPr>
        <w:spacing w:after="0" w:line="240" w:lineRule="auto"/>
        <w:jc w:val="both"/>
        <w:rPr>
          <w:rFonts w:ascii="Times New Roman" w:hAnsi="Times New Roman"/>
          <w:b/>
        </w:rPr>
      </w:pPr>
      <w:r w:rsidRPr="00CB554C">
        <w:rPr>
          <w:rFonts w:ascii="Times New Roman" w:hAnsi="Times New Roman"/>
          <w:b/>
          <w:bCs/>
          <w:lang w:val="sr-Cyrl-CS"/>
        </w:rPr>
        <w:t>I</w:t>
      </w:r>
      <w:r w:rsidRPr="00CB554C">
        <w:rPr>
          <w:rFonts w:ascii="Times New Roman" w:hAnsi="Times New Roman"/>
          <w:b/>
          <w:bCs/>
        </w:rPr>
        <w:t xml:space="preserve">. </w:t>
      </w:r>
      <w:r w:rsidRPr="00CB554C">
        <w:rPr>
          <w:rFonts w:ascii="Times New Roman" w:hAnsi="Times New Roman"/>
          <w:b/>
          <w:bCs/>
          <w:lang w:val="sr-Cyrl-CS"/>
        </w:rPr>
        <w:t>ОПШТЕ ОДРЕДБЕ</w:t>
      </w:r>
    </w:p>
    <w:p w:rsidR="0049202B" w:rsidRPr="00CB554C" w:rsidRDefault="0049202B" w:rsidP="00A57695">
      <w:pPr>
        <w:spacing w:after="0" w:line="240" w:lineRule="auto"/>
        <w:jc w:val="both"/>
        <w:rPr>
          <w:rFonts w:ascii="Times New Roman" w:hAnsi="Times New Roman"/>
          <w:b/>
          <w:bCs/>
          <w:lang w:val="sr-Cyrl-CS"/>
        </w:rPr>
      </w:pPr>
      <w:r w:rsidRPr="00CB554C">
        <w:rPr>
          <w:rFonts w:ascii="Times New Roman" w:hAnsi="Times New Roman"/>
          <w:b/>
        </w:rPr>
        <w:t xml:space="preserve">I. </w:t>
      </w:r>
      <w:r w:rsidRPr="00CB554C">
        <w:rPr>
          <w:rFonts w:ascii="Times New Roman" w:hAnsi="Times New Roman"/>
          <w:b/>
          <w:lang w:val="sr-Cyrl-CS"/>
        </w:rPr>
        <w:t>DIPSOZITAT E PËRGJITHSHME</w:t>
      </w:r>
    </w:p>
    <w:p w:rsidR="0049202B" w:rsidRPr="00CB554C" w:rsidRDefault="0049202B" w:rsidP="00A57695">
      <w:pPr>
        <w:spacing w:after="0" w:line="240" w:lineRule="auto"/>
        <w:jc w:val="both"/>
        <w:rPr>
          <w:rFonts w:ascii="Times New Roman" w:hAnsi="Times New Roman"/>
          <w:b/>
          <w:bCs/>
          <w:lang w:val="sr-Cyrl-CS"/>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1.</w:t>
      </w:r>
    </w:p>
    <w:p w:rsidR="0049202B" w:rsidRPr="00CB554C" w:rsidRDefault="0049202B" w:rsidP="00A57695">
      <w:pPr>
        <w:pStyle w:val="BodyText"/>
        <w:ind w:firstLine="720"/>
        <w:jc w:val="both"/>
        <w:rPr>
          <w:sz w:val="22"/>
          <w:szCs w:val="22"/>
        </w:rPr>
      </w:pPr>
      <w:r w:rsidRPr="00CB554C">
        <w:rPr>
          <w:sz w:val="22"/>
          <w:szCs w:val="22"/>
          <w:lang w:val="sr-Cyrl-CS"/>
        </w:rPr>
        <w:t>Овом Одлуком уводе се локалне комуналнетаксе</w:t>
      </w:r>
      <w:r w:rsidRPr="00CB554C">
        <w:rPr>
          <w:sz w:val="22"/>
          <w:szCs w:val="22"/>
        </w:rPr>
        <w:t xml:space="preserve"> (у даљем тексту: комуналне таксе)</w:t>
      </w:r>
      <w:r w:rsidRPr="00CB554C">
        <w:rPr>
          <w:sz w:val="22"/>
          <w:szCs w:val="22"/>
          <w:lang w:val="sr-Cyrl-CS"/>
        </w:rPr>
        <w:t xml:space="preserve"> на територији општине Бујановац</w:t>
      </w:r>
      <w:r w:rsidRPr="00CB554C">
        <w:rPr>
          <w:sz w:val="22"/>
          <w:szCs w:val="22"/>
        </w:rPr>
        <w:t xml:space="preserve"> које плаћају правна и физичка лица за коришћење права, предмета и услуга на територији Општине Бујановац и утврђују обвезници, висина, олакшице, рокови и начин плаћања.</w:t>
      </w:r>
    </w:p>
    <w:p w:rsidR="0049202B" w:rsidRDefault="0049202B" w:rsidP="00A57695">
      <w:pPr>
        <w:pStyle w:val="BodyText"/>
        <w:ind w:firstLine="720"/>
        <w:jc w:val="both"/>
        <w:rPr>
          <w:sz w:val="22"/>
          <w:szCs w:val="22"/>
          <w:lang w:val="sq-AL"/>
        </w:rPr>
      </w:pPr>
      <w:r w:rsidRPr="00CB554C">
        <w:rPr>
          <w:sz w:val="22"/>
          <w:szCs w:val="22"/>
          <w:lang w:val="sr-Cyrl-CS"/>
        </w:rPr>
        <w:t xml:space="preserve">Me këtë Vendim aplikohen taksat lokale komunale </w:t>
      </w:r>
      <w:r w:rsidRPr="00CB554C">
        <w:rPr>
          <w:sz w:val="22"/>
          <w:szCs w:val="22"/>
          <w:lang w:val="sq-AL"/>
        </w:rPr>
        <w:t xml:space="preserve">(në vijim të tekstit: taksat komunale) </w:t>
      </w:r>
      <w:r w:rsidRPr="00CB554C">
        <w:rPr>
          <w:sz w:val="22"/>
          <w:szCs w:val="22"/>
          <w:lang w:val="sr-Cyrl-CS"/>
        </w:rPr>
        <w:t xml:space="preserve">në territorin e Komunës së Bujanocit </w:t>
      </w:r>
      <w:r w:rsidRPr="00CB554C">
        <w:rPr>
          <w:sz w:val="22"/>
          <w:szCs w:val="22"/>
          <w:lang w:val="sq-AL"/>
        </w:rPr>
        <w:t xml:space="preserve">të cilat i paguajn personat juridik dhe fizik për shfrytëzimin e të drejtave, gjërave dhe shërbimeve </w:t>
      </w:r>
      <w:r w:rsidRPr="00CB554C">
        <w:rPr>
          <w:sz w:val="22"/>
          <w:szCs w:val="22"/>
          <w:lang w:val="sr-Cyrl-CS"/>
        </w:rPr>
        <w:t>në territorin e Komunës së Bujanocit dhe përcaktohen taksapaguesit, lartësia, lehtësimet, afatet dhe mënyra e pagesë</w:t>
      </w:r>
      <w:r>
        <w:rPr>
          <w:sz w:val="22"/>
          <w:szCs w:val="22"/>
          <w:lang w:val="sq-AL"/>
        </w:rPr>
        <w:t>s.</w:t>
      </w:r>
    </w:p>
    <w:p w:rsidR="0049202B" w:rsidRPr="004922EE" w:rsidRDefault="0049202B" w:rsidP="00A57695">
      <w:pPr>
        <w:pStyle w:val="BodyText"/>
        <w:ind w:firstLine="720"/>
        <w:rPr>
          <w:sz w:val="22"/>
          <w:szCs w:val="22"/>
          <w:lang w:val="sq-AL"/>
        </w:rPr>
      </w:pPr>
    </w:p>
    <w:p w:rsidR="0049202B" w:rsidRPr="00CB554C" w:rsidRDefault="0049202B" w:rsidP="00A57695">
      <w:pPr>
        <w:spacing w:after="0" w:line="240" w:lineRule="auto"/>
        <w:jc w:val="center"/>
        <w:rPr>
          <w:rFonts w:ascii="Times New Roman" w:hAnsi="Times New Roman"/>
          <w:b/>
          <w:bCs/>
        </w:rPr>
      </w:pPr>
      <w:r w:rsidRPr="00CB554C">
        <w:rPr>
          <w:rFonts w:ascii="Times New Roman" w:hAnsi="Times New Roman"/>
          <w:b/>
          <w:bCs/>
          <w:lang w:val="sr-Cyrl-CS"/>
        </w:rPr>
        <w:t>Члан - Neni 2.</w:t>
      </w:r>
    </w:p>
    <w:p w:rsidR="0049202B" w:rsidRPr="00CB554C" w:rsidRDefault="0049202B" w:rsidP="00A57695">
      <w:pPr>
        <w:pStyle w:val="BodyText"/>
        <w:ind w:firstLine="720"/>
        <w:rPr>
          <w:sz w:val="22"/>
          <w:szCs w:val="22"/>
          <w:lang w:val="sq-AL"/>
        </w:rPr>
      </w:pPr>
      <w:r w:rsidRPr="00CB554C">
        <w:rPr>
          <w:sz w:val="22"/>
          <w:szCs w:val="22"/>
        </w:rPr>
        <w:t>Комунална такса се плаћа за</w:t>
      </w:r>
      <w:r w:rsidRPr="00CB554C">
        <w:rPr>
          <w:sz w:val="22"/>
          <w:szCs w:val="22"/>
          <w:lang w:val="sr-Cyrl-CS"/>
        </w:rPr>
        <w:t>:</w:t>
      </w:r>
    </w:p>
    <w:p w:rsidR="0049202B" w:rsidRPr="00CB554C" w:rsidRDefault="0049202B" w:rsidP="00A57695">
      <w:pPr>
        <w:pStyle w:val="BodyText"/>
        <w:ind w:firstLine="720"/>
        <w:rPr>
          <w:sz w:val="22"/>
          <w:szCs w:val="22"/>
          <w:lang w:val="sq-AL"/>
        </w:rPr>
      </w:pPr>
      <w:r w:rsidRPr="00CB554C">
        <w:rPr>
          <w:sz w:val="22"/>
          <w:szCs w:val="22"/>
          <w:lang w:val="sr-Cyrl-CS"/>
        </w:rPr>
        <w:t>Taksat lokale komunale aplikohen për:</w:t>
      </w:r>
    </w:p>
    <w:p w:rsidR="0049202B" w:rsidRPr="00CB554C" w:rsidRDefault="0049202B" w:rsidP="00A57695">
      <w:pPr>
        <w:pStyle w:val="BodyText"/>
        <w:ind w:firstLine="720"/>
        <w:rPr>
          <w:sz w:val="22"/>
          <w:szCs w:val="22"/>
          <w:lang w:val="sq-AL"/>
        </w:rPr>
      </w:pPr>
    </w:p>
    <w:p w:rsidR="0049202B" w:rsidRPr="00CB554C" w:rsidRDefault="0049202B" w:rsidP="00A57695">
      <w:pPr>
        <w:pStyle w:val="ListParagraph"/>
        <w:numPr>
          <w:ilvl w:val="0"/>
          <w:numId w:val="7"/>
        </w:numPr>
        <w:contextualSpacing w:val="0"/>
        <w:jc w:val="both"/>
        <w:rPr>
          <w:sz w:val="22"/>
          <w:szCs w:val="22"/>
          <w:lang w:val="sr-Cyrl-CS"/>
        </w:rPr>
      </w:pPr>
      <w:r w:rsidRPr="00CB554C">
        <w:rPr>
          <w:sz w:val="22"/>
          <w:szCs w:val="22"/>
          <w:lang w:val="sr-Cyrl-CS"/>
        </w:rPr>
        <w:t>истицање фирме на пословном простору;</w:t>
      </w:r>
    </w:p>
    <w:p w:rsidR="0049202B" w:rsidRPr="00CB554C" w:rsidRDefault="0049202B" w:rsidP="00A57695">
      <w:pPr>
        <w:pStyle w:val="ListParagraph"/>
        <w:jc w:val="both"/>
        <w:rPr>
          <w:sz w:val="22"/>
          <w:szCs w:val="22"/>
          <w:lang w:val="sr-Cyrl-CS"/>
        </w:rPr>
      </w:pPr>
      <w:r w:rsidRPr="00CB554C">
        <w:rPr>
          <w:sz w:val="22"/>
          <w:szCs w:val="22"/>
          <w:lang w:val="sr-Cyrl-CS"/>
        </w:rPr>
        <w:t>për publikimin e firmës në hapësirën afariste;</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pStyle w:val="ListParagraph"/>
        <w:numPr>
          <w:ilvl w:val="0"/>
          <w:numId w:val="7"/>
        </w:numPr>
        <w:contextualSpacing w:val="0"/>
        <w:jc w:val="both"/>
        <w:rPr>
          <w:sz w:val="22"/>
          <w:szCs w:val="22"/>
          <w:lang w:val="sr-Cyrl-CS"/>
        </w:rPr>
      </w:pPr>
      <w:r w:rsidRPr="00CB554C">
        <w:rPr>
          <w:sz w:val="22"/>
          <w:szCs w:val="22"/>
          <w:lang w:val="sr-Cyrl-CS"/>
        </w:rPr>
        <w:t>држање моторних друмских и прикључних возила, осим пољопривредних возила и машина;</w:t>
      </w:r>
    </w:p>
    <w:p w:rsidR="0049202B" w:rsidRPr="00CB554C" w:rsidRDefault="0049202B" w:rsidP="00A57695">
      <w:pPr>
        <w:pStyle w:val="ListParagraph"/>
        <w:jc w:val="both"/>
        <w:rPr>
          <w:sz w:val="22"/>
          <w:szCs w:val="22"/>
          <w:lang w:val="sr-Cyrl-CS"/>
        </w:rPr>
      </w:pPr>
      <w:r w:rsidRPr="00CB554C">
        <w:rPr>
          <w:sz w:val="22"/>
          <w:szCs w:val="22"/>
          <w:lang w:val="sr-Cyrl-CS"/>
        </w:rPr>
        <w:t xml:space="preserve">mbajtja e automjeteve rrugore dhe atyre ndihmëse, përveç automjeteve </w:t>
      </w:r>
      <w:r w:rsidRPr="00CB554C">
        <w:rPr>
          <w:sz w:val="22"/>
          <w:szCs w:val="22"/>
          <w:lang w:val="sq-AL"/>
        </w:rPr>
        <w:t>bujqësore dhe makinave</w:t>
      </w:r>
      <w:r w:rsidRPr="00CB554C">
        <w:rPr>
          <w:sz w:val="22"/>
          <w:szCs w:val="22"/>
          <w:lang w:val="sr-Cyrl-CS"/>
        </w:rPr>
        <w:t>;</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pStyle w:val="ListParagraph"/>
        <w:numPr>
          <w:ilvl w:val="0"/>
          <w:numId w:val="7"/>
        </w:numPr>
        <w:contextualSpacing w:val="0"/>
        <w:jc w:val="both"/>
        <w:rPr>
          <w:sz w:val="22"/>
          <w:szCs w:val="22"/>
          <w:lang w:val="sr-Cyrl-CS"/>
        </w:rPr>
      </w:pPr>
      <w:r w:rsidRPr="00CB554C">
        <w:rPr>
          <w:sz w:val="22"/>
          <w:szCs w:val="22"/>
          <w:lang w:val="sr-Cyrl-CS"/>
        </w:rPr>
        <w:t>држање средстава за игру (</w:t>
      </w:r>
      <w:r w:rsidRPr="00CB554C">
        <w:rPr>
          <w:sz w:val="22"/>
          <w:szCs w:val="22"/>
        </w:rPr>
        <w:t>забавне игре);</w:t>
      </w:r>
    </w:p>
    <w:p w:rsidR="0049202B" w:rsidRPr="00CB554C" w:rsidRDefault="0049202B" w:rsidP="00A57695">
      <w:pPr>
        <w:pStyle w:val="ListParagraph"/>
        <w:jc w:val="both"/>
        <w:rPr>
          <w:sz w:val="22"/>
          <w:szCs w:val="22"/>
          <w:lang w:val="sr-Cyrl-CS"/>
        </w:rPr>
      </w:pPr>
      <w:proofErr w:type="gramStart"/>
      <w:r w:rsidRPr="00CB554C">
        <w:rPr>
          <w:sz w:val="22"/>
          <w:szCs w:val="22"/>
        </w:rPr>
        <w:t>mbajtja</w:t>
      </w:r>
      <w:proofErr w:type="gramEnd"/>
      <w:r w:rsidRPr="00CB554C">
        <w:rPr>
          <w:sz w:val="22"/>
          <w:szCs w:val="22"/>
        </w:rPr>
        <w:t xml:space="preserve"> e mjeteve për lojra (lojrat argëtuese);</w:t>
      </w:r>
    </w:p>
    <w:p w:rsidR="00A57695" w:rsidRDefault="00A57695" w:rsidP="00A57695">
      <w:pPr>
        <w:spacing w:after="0" w:line="240" w:lineRule="auto"/>
        <w:jc w:val="center"/>
        <w:rPr>
          <w:rFonts w:ascii="Times New Roman" w:hAnsi="Times New Roman"/>
          <w:b/>
          <w:bCs/>
          <w:lang w:val="hr-BA"/>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3.</w:t>
      </w:r>
    </w:p>
    <w:p w:rsidR="0049202B" w:rsidRPr="00CB554C" w:rsidRDefault="0049202B" w:rsidP="00A57695">
      <w:pPr>
        <w:pStyle w:val="BodyText"/>
        <w:ind w:firstLine="720"/>
        <w:rPr>
          <w:sz w:val="22"/>
          <w:szCs w:val="22"/>
          <w:lang w:val="sq-AL"/>
        </w:rPr>
      </w:pPr>
      <w:r w:rsidRPr="00CB554C">
        <w:rPr>
          <w:sz w:val="22"/>
          <w:szCs w:val="22"/>
          <w:lang w:val="sr-Cyrl-CS"/>
        </w:rPr>
        <w:t>Обвезник комуналне таксе</w:t>
      </w:r>
      <w:r w:rsidRPr="00CB554C">
        <w:rPr>
          <w:sz w:val="22"/>
          <w:szCs w:val="22"/>
        </w:rPr>
        <w:t xml:space="preserve"> је јесте физичко и правно лице - </w:t>
      </w:r>
      <w:r w:rsidRPr="00CB554C">
        <w:rPr>
          <w:sz w:val="22"/>
          <w:szCs w:val="22"/>
          <w:lang w:val="sr-Cyrl-CS"/>
        </w:rPr>
        <w:t>корисник права, предмета или услуга за чије је коришћење</w:t>
      </w:r>
      <w:r w:rsidRPr="00CB554C">
        <w:rPr>
          <w:sz w:val="22"/>
          <w:szCs w:val="22"/>
        </w:rPr>
        <w:t xml:space="preserve"> овом одлуком</w:t>
      </w:r>
      <w:r w:rsidRPr="00CB554C">
        <w:rPr>
          <w:sz w:val="22"/>
          <w:szCs w:val="22"/>
          <w:lang w:val="sr-Cyrl-CS"/>
        </w:rPr>
        <w:t xml:space="preserve"> прописано плаћање комуналне таксе.</w:t>
      </w:r>
    </w:p>
    <w:p w:rsidR="0049202B" w:rsidRPr="00CB554C" w:rsidRDefault="0049202B" w:rsidP="00A57695">
      <w:pPr>
        <w:pStyle w:val="BodyText"/>
        <w:ind w:firstLine="720"/>
        <w:rPr>
          <w:sz w:val="22"/>
          <w:szCs w:val="22"/>
          <w:lang w:val="sq-AL"/>
        </w:rPr>
      </w:pPr>
      <w:r w:rsidRPr="00CB554C">
        <w:rPr>
          <w:sz w:val="22"/>
          <w:szCs w:val="22"/>
          <w:lang w:val="sq-AL"/>
        </w:rPr>
        <w:lastRenderedPageBreak/>
        <w:t>Taksapagues</w:t>
      </w:r>
      <w:r w:rsidRPr="00CB554C">
        <w:rPr>
          <w:sz w:val="22"/>
          <w:szCs w:val="22"/>
          <w:lang w:val="sr-Cyrl-CS"/>
        </w:rPr>
        <w:t xml:space="preserve"> i taksës lokale komunale </w:t>
      </w:r>
      <w:r w:rsidRPr="00CB554C">
        <w:rPr>
          <w:sz w:val="22"/>
          <w:szCs w:val="22"/>
          <w:lang w:val="sq-AL"/>
        </w:rPr>
        <w:t xml:space="preserve">është personi fizik dhe juridik - shfrytëzues i të drejtave, gjërave dhe shërbimevepër shfrytëzimin e të cilave me këtë vendim është paraparë pagesa e taksës komunale. </w:t>
      </w:r>
    </w:p>
    <w:p w:rsidR="0049202B" w:rsidRPr="00CB554C" w:rsidRDefault="0049202B" w:rsidP="00A57695">
      <w:pPr>
        <w:pStyle w:val="BodyText"/>
        <w:rPr>
          <w:sz w:val="22"/>
          <w:szCs w:val="22"/>
          <w:lang w:val="sr-Cyrl-CS"/>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4.</w:t>
      </w:r>
    </w:p>
    <w:p w:rsidR="0049202B" w:rsidRPr="00CB554C" w:rsidRDefault="0049202B" w:rsidP="00A57695">
      <w:pPr>
        <w:pStyle w:val="BodyText"/>
        <w:ind w:firstLine="720"/>
        <w:jc w:val="both"/>
        <w:rPr>
          <w:sz w:val="22"/>
          <w:szCs w:val="22"/>
          <w:lang w:val="sq-AL"/>
        </w:rPr>
      </w:pPr>
      <w:r w:rsidRPr="00CB554C">
        <w:rPr>
          <w:sz w:val="22"/>
          <w:szCs w:val="22"/>
          <w:lang w:val="sr-Cyrl-CS"/>
        </w:rPr>
        <w:t>Таксена обавеза настаје даном почетка коришћења права, предметаили услуга за чије је коришћење прописано плаћање комуналне таксе.</w:t>
      </w:r>
    </w:p>
    <w:p w:rsidR="0049202B" w:rsidRPr="00CB554C" w:rsidRDefault="0049202B" w:rsidP="00A57695">
      <w:pPr>
        <w:pStyle w:val="BodyText"/>
        <w:ind w:firstLine="720"/>
        <w:jc w:val="both"/>
        <w:rPr>
          <w:sz w:val="22"/>
          <w:szCs w:val="22"/>
          <w:lang w:val="sq-AL"/>
        </w:rPr>
      </w:pPr>
      <w:r w:rsidRPr="00CB554C">
        <w:rPr>
          <w:sz w:val="22"/>
          <w:szCs w:val="22"/>
          <w:lang w:val="sq-AL"/>
        </w:rPr>
        <w:t>Obligimi tatimor nisë me ditën e fillimit të shfrytëzimit të të drejtave, gjërave dhe shërbimevepër shfrytëzimin e të cilave është paraparë pagesa e taksës komunale.</w:t>
      </w:r>
    </w:p>
    <w:p w:rsidR="0049202B" w:rsidRPr="00CB554C" w:rsidRDefault="0049202B" w:rsidP="00A57695">
      <w:pPr>
        <w:pStyle w:val="BodyText"/>
        <w:jc w:val="both"/>
        <w:rPr>
          <w:sz w:val="22"/>
          <w:szCs w:val="22"/>
          <w:lang w:val="sq-AL"/>
        </w:rPr>
      </w:pPr>
    </w:p>
    <w:p w:rsidR="0049202B" w:rsidRPr="00CB554C" w:rsidRDefault="0049202B" w:rsidP="00A57695">
      <w:pPr>
        <w:pStyle w:val="BodyText"/>
        <w:ind w:firstLine="720"/>
        <w:jc w:val="both"/>
        <w:rPr>
          <w:sz w:val="22"/>
          <w:szCs w:val="22"/>
          <w:lang w:val="sq-AL"/>
        </w:rPr>
      </w:pPr>
      <w:r w:rsidRPr="00CB554C">
        <w:rPr>
          <w:sz w:val="22"/>
          <w:szCs w:val="22"/>
          <w:lang w:val="sr-Cyrl-CS"/>
        </w:rPr>
        <w:t>Таксена обавеза траје док траје коришћење права, предмета или услуга.</w:t>
      </w:r>
    </w:p>
    <w:p w:rsidR="0049202B" w:rsidRPr="00CB554C" w:rsidRDefault="0049202B" w:rsidP="00A57695">
      <w:pPr>
        <w:pStyle w:val="BodyText"/>
        <w:ind w:firstLine="720"/>
        <w:jc w:val="both"/>
        <w:rPr>
          <w:sz w:val="22"/>
          <w:szCs w:val="22"/>
          <w:lang w:val="sq-AL"/>
        </w:rPr>
      </w:pPr>
      <w:r w:rsidRPr="00CB554C">
        <w:rPr>
          <w:sz w:val="22"/>
          <w:szCs w:val="22"/>
          <w:lang w:val="sq-AL"/>
        </w:rPr>
        <w:t>Obligimi tatimor zgjatë deri sa zgjatë shfrytëzimi e të drejtave, gjërave dhe shëtbimeve.</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5.</w:t>
      </w:r>
    </w:p>
    <w:p w:rsidR="0049202B" w:rsidRPr="00CB554C" w:rsidRDefault="0049202B" w:rsidP="00A57695">
      <w:pPr>
        <w:spacing w:after="0" w:line="240" w:lineRule="auto"/>
        <w:ind w:firstLine="720"/>
        <w:jc w:val="both"/>
        <w:rPr>
          <w:rFonts w:ascii="Times New Roman" w:hAnsi="Times New Roman"/>
          <w:lang w:val="sq-AL"/>
        </w:rPr>
      </w:pPr>
      <w:proofErr w:type="gramStart"/>
      <w:r w:rsidRPr="00CB554C">
        <w:rPr>
          <w:rFonts w:ascii="Times New Roman" w:hAnsi="Times New Roman"/>
        </w:rPr>
        <w:t>К</w:t>
      </w:r>
      <w:r w:rsidRPr="00CB554C">
        <w:rPr>
          <w:rFonts w:ascii="Times New Roman" w:hAnsi="Times New Roman"/>
          <w:lang w:val="sr-Cyrl-CS"/>
        </w:rPr>
        <w:t>омуналне таксе не плаћају се за коришћење права, предмета или услуга од стране државних органа и организација, органа и организација територијалне аутономије и јединице локалне самоуправе.</w:t>
      </w:r>
      <w:proofErr w:type="gramEnd"/>
    </w:p>
    <w:p w:rsidR="0049202B" w:rsidRPr="00CB554C"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Taksat lokale komunale nuk paguhen për shfrytëzimin e të drejtave, të gjërave dhe të shërbimeve nga ana e organeve dhe organizatave shtetërore, të organeve dhe të organizatave të autonomisë territoriale dhe të njësisë së vetadministrimit lokal.</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spacing w:after="0" w:line="240" w:lineRule="auto"/>
        <w:ind w:firstLine="720"/>
        <w:jc w:val="both"/>
        <w:rPr>
          <w:rFonts w:ascii="Times New Roman" w:hAnsi="Times New Roman"/>
          <w:bCs/>
          <w:lang w:val="sr-Cyrl-CS"/>
        </w:rPr>
      </w:pPr>
      <w:r w:rsidRPr="00CB554C">
        <w:rPr>
          <w:rFonts w:ascii="Times New Roman" w:hAnsi="Times New Roman"/>
          <w:bCs/>
          <w:lang w:val="sr-Cyrl-CS"/>
        </w:rPr>
        <w:t>Ослобађају се плаћања комуналне таксе:</w:t>
      </w:r>
    </w:p>
    <w:p w:rsidR="0049202B" w:rsidRPr="00CB554C" w:rsidRDefault="0049202B" w:rsidP="00A57695">
      <w:pPr>
        <w:spacing w:after="0" w:line="240" w:lineRule="auto"/>
        <w:ind w:firstLine="720"/>
        <w:jc w:val="both"/>
        <w:rPr>
          <w:rFonts w:ascii="Times New Roman" w:hAnsi="Times New Roman"/>
          <w:bCs/>
          <w:lang w:val="sr-Cyrl-CS"/>
        </w:rPr>
      </w:pPr>
      <w:r w:rsidRPr="00CB554C">
        <w:rPr>
          <w:rFonts w:ascii="Times New Roman" w:hAnsi="Times New Roman"/>
          <w:bCs/>
          <w:lang w:val="sr-Cyrl-CS"/>
        </w:rPr>
        <w:t>Lirohen prej pagesës së taksës komunale:</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државни органи,</w:t>
      </w:r>
    </w:p>
    <w:p w:rsidR="0049202B" w:rsidRPr="00CB554C" w:rsidRDefault="0049202B" w:rsidP="00A57695">
      <w:pPr>
        <w:pStyle w:val="ListParagraph"/>
        <w:jc w:val="both"/>
        <w:rPr>
          <w:bCs/>
          <w:sz w:val="22"/>
          <w:szCs w:val="22"/>
          <w:lang w:val="sr-Cyrl-CS"/>
        </w:rPr>
      </w:pPr>
      <w:r w:rsidRPr="00CB554C">
        <w:rPr>
          <w:bCs/>
          <w:sz w:val="22"/>
          <w:szCs w:val="22"/>
          <w:lang w:val="sr-Cyrl-CS"/>
        </w:rPr>
        <w:t>organet shtetërore,</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органи територијалне аутономије и локалне самоуправе и организације социјалног осигурања,</w:t>
      </w:r>
    </w:p>
    <w:p w:rsidR="0049202B" w:rsidRDefault="0049202B" w:rsidP="00A57695">
      <w:pPr>
        <w:pStyle w:val="ListParagraph"/>
        <w:jc w:val="both"/>
        <w:rPr>
          <w:bCs/>
          <w:sz w:val="22"/>
          <w:szCs w:val="22"/>
          <w:lang w:val="sq-AL"/>
        </w:rPr>
      </w:pPr>
      <w:r w:rsidRPr="00CB554C">
        <w:rPr>
          <w:bCs/>
          <w:sz w:val="22"/>
          <w:szCs w:val="22"/>
          <w:lang w:val="sr-Cyrl-CS"/>
        </w:rPr>
        <w:t>organet e autonomisë territoriale dhe të vetëadministrimit lokal dhe organizatat e sigurimi</w:t>
      </w:r>
      <w:r>
        <w:rPr>
          <w:bCs/>
          <w:sz w:val="22"/>
          <w:szCs w:val="22"/>
          <w:lang w:val="sr-Cyrl-CS"/>
        </w:rPr>
        <w:t xml:space="preserve">t social, </w:t>
      </w:r>
    </w:p>
    <w:p w:rsidR="0049202B" w:rsidRPr="004922EE" w:rsidRDefault="0049202B" w:rsidP="00A57695">
      <w:pPr>
        <w:pStyle w:val="ListParagraph"/>
        <w:jc w:val="both"/>
        <w:rPr>
          <w:bCs/>
          <w:sz w:val="22"/>
          <w:szCs w:val="22"/>
          <w:lang w:val="sq-AL"/>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организације регистроване за обављање делатности у области друштвене заштите деце и омладине и социјалне заштите,</w:t>
      </w:r>
    </w:p>
    <w:p w:rsidR="0049202B" w:rsidRPr="00CB554C" w:rsidRDefault="0049202B" w:rsidP="00A57695">
      <w:pPr>
        <w:pStyle w:val="ListParagraph"/>
        <w:jc w:val="both"/>
        <w:rPr>
          <w:bCs/>
          <w:sz w:val="22"/>
          <w:szCs w:val="22"/>
          <w:lang w:val="sr-Cyrl-CS"/>
        </w:rPr>
      </w:pPr>
      <w:r w:rsidRPr="00CB554C">
        <w:rPr>
          <w:bCs/>
          <w:sz w:val="22"/>
          <w:szCs w:val="22"/>
          <w:lang w:val="sr-Cyrl-CS"/>
        </w:rPr>
        <w:t>organizatat e regjistruara për kryerjen e veprimtarive në sferën e mbrojtjes shoqërore të fëmijëve dhe të rinjëve si dhe të mbrojtjes sociale,</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хуманитарне организације,</w:t>
      </w:r>
    </w:p>
    <w:p w:rsidR="0049202B" w:rsidRPr="00CB554C" w:rsidRDefault="0049202B" w:rsidP="00A57695">
      <w:pPr>
        <w:pStyle w:val="ListParagraph"/>
        <w:jc w:val="both"/>
        <w:rPr>
          <w:bCs/>
          <w:sz w:val="22"/>
          <w:szCs w:val="22"/>
          <w:lang w:val="sr-Cyrl-CS"/>
        </w:rPr>
      </w:pPr>
      <w:r w:rsidRPr="00CB554C">
        <w:rPr>
          <w:bCs/>
          <w:sz w:val="22"/>
          <w:szCs w:val="22"/>
          <w:lang w:val="sr-Cyrl-CS"/>
        </w:rPr>
        <w:t>organizatat humanitare,</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 xml:space="preserve">верске заједнице и </w:t>
      </w:r>
    </w:p>
    <w:p w:rsidR="0049202B" w:rsidRPr="00CB554C" w:rsidRDefault="0049202B" w:rsidP="00A57695">
      <w:pPr>
        <w:pStyle w:val="ListParagraph"/>
        <w:jc w:val="both"/>
        <w:rPr>
          <w:bCs/>
          <w:sz w:val="22"/>
          <w:szCs w:val="22"/>
          <w:lang w:val="sr-Cyrl-CS"/>
        </w:rPr>
      </w:pPr>
      <w:r w:rsidRPr="00CB554C">
        <w:rPr>
          <w:bCs/>
          <w:sz w:val="22"/>
          <w:szCs w:val="22"/>
          <w:lang w:val="sr-Cyrl-CS"/>
        </w:rPr>
        <w:t>bashkësitë fetare dhe</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pStyle w:val="ListParagraph"/>
        <w:numPr>
          <w:ilvl w:val="0"/>
          <w:numId w:val="6"/>
        </w:numPr>
        <w:contextualSpacing w:val="0"/>
        <w:jc w:val="both"/>
        <w:rPr>
          <w:bCs/>
          <w:sz w:val="22"/>
          <w:szCs w:val="22"/>
          <w:lang w:val="sr-Cyrl-CS"/>
        </w:rPr>
      </w:pPr>
      <w:r w:rsidRPr="00CB554C">
        <w:rPr>
          <w:bCs/>
          <w:sz w:val="22"/>
          <w:szCs w:val="22"/>
          <w:lang w:val="sr-Cyrl-CS"/>
        </w:rPr>
        <w:t xml:space="preserve">јавна предузећа и установе, чији оснивач </w:t>
      </w:r>
      <w:r w:rsidRPr="00CB554C">
        <w:rPr>
          <w:bCs/>
          <w:sz w:val="22"/>
          <w:szCs w:val="22"/>
        </w:rPr>
        <w:t>С</w:t>
      </w:r>
      <w:r w:rsidRPr="00CB554C">
        <w:rPr>
          <w:bCs/>
          <w:sz w:val="22"/>
          <w:szCs w:val="22"/>
          <w:lang w:val="sr-Cyrl-CS"/>
        </w:rPr>
        <w:t>купштина општине Бујановац.</w:t>
      </w:r>
    </w:p>
    <w:p w:rsidR="0049202B" w:rsidRPr="00CB554C" w:rsidRDefault="0049202B" w:rsidP="00A57695">
      <w:pPr>
        <w:pStyle w:val="ListParagraph"/>
        <w:jc w:val="both"/>
        <w:rPr>
          <w:bCs/>
          <w:sz w:val="22"/>
          <w:szCs w:val="22"/>
          <w:lang w:val="sr-Cyrl-CS"/>
        </w:rPr>
      </w:pPr>
      <w:r w:rsidRPr="00CB554C">
        <w:rPr>
          <w:bCs/>
          <w:sz w:val="22"/>
          <w:szCs w:val="22"/>
          <w:lang w:val="sr-Cyrl-CS"/>
        </w:rPr>
        <w:t xml:space="preserve">ndërmarrjet publike dhe entet publike, themelues i të cilave është </w:t>
      </w:r>
      <w:r w:rsidRPr="00CB554C">
        <w:rPr>
          <w:bCs/>
          <w:sz w:val="22"/>
          <w:szCs w:val="22"/>
          <w:lang w:val="sq-AL"/>
        </w:rPr>
        <w:t>K</w:t>
      </w:r>
      <w:r w:rsidRPr="00CB554C">
        <w:rPr>
          <w:bCs/>
          <w:sz w:val="22"/>
          <w:szCs w:val="22"/>
          <w:lang w:val="sr-Cyrl-CS"/>
        </w:rPr>
        <w:t>uvendi komunal i Bujanocit.</w:t>
      </w:r>
    </w:p>
    <w:p w:rsidR="0049202B" w:rsidRPr="00CB554C" w:rsidRDefault="0049202B" w:rsidP="00A57695">
      <w:pPr>
        <w:spacing w:after="0" w:line="240" w:lineRule="auto"/>
        <w:jc w:val="both"/>
        <w:rPr>
          <w:rFonts w:ascii="Times New Roman" w:hAnsi="Times New Roman"/>
          <w:bCs/>
          <w:lang w:val="sr-Cyrl-CS"/>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6.</w:t>
      </w:r>
    </w:p>
    <w:p w:rsidR="0049202B" w:rsidRPr="00CB554C" w:rsidRDefault="0049202B" w:rsidP="00A57695">
      <w:pPr>
        <w:pStyle w:val="BodyText"/>
        <w:ind w:firstLine="720"/>
        <w:rPr>
          <w:sz w:val="22"/>
          <w:szCs w:val="22"/>
          <w:lang w:val="sr-Cyrl-CS"/>
        </w:rPr>
      </w:pPr>
      <w:r w:rsidRPr="00CB554C">
        <w:rPr>
          <w:sz w:val="22"/>
          <w:szCs w:val="22"/>
          <w:lang w:val="sr-Cyrl-CS"/>
        </w:rPr>
        <w:t>Фирма у смислу ове Одлуке јесте сваки истакнути назив или име које упућује на то да правно и физичко лице обавља одређену делатност.</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q-AL"/>
        </w:rPr>
        <w:t>N</w:t>
      </w:r>
      <w:r w:rsidRPr="00CB554C">
        <w:rPr>
          <w:rFonts w:ascii="Times New Roman" w:hAnsi="Times New Roman"/>
          <w:lang w:val="sr-Cyrl-CS"/>
        </w:rPr>
        <w:t>dërmarrje (firmë)</w:t>
      </w:r>
      <w:r w:rsidRPr="00CB554C">
        <w:rPr>
          <w:rFonts w:ascii="Times New Roman" w:hAnsi="Times New Roman"/>
          <w:lang w:val="sq-AL"/>
        </w:rPr>
        <w:t xml:space="preserve"> n</w:t>
      </w:r>
      <w:r w:rsidRPr="00CB554C">
        <w:rPr>
          <w:rFonts w:ascii="Times New Roman" w:hAnsi="Times New Roman"/>
          <w:lang w:val="sr-Cyrl-CS"/>
        </w:rPr>
        <w:t>ë kuptim të këtij Vendimi është secili emërtim i publikuar apo emër i cili tregon se personi juridik dhe fizik është duke kryer veprimtari të caktuar.</w:t>
      </w:r>
    </w:p>
    <w:p w:rsidR="0049202B" w:rsidRPr="00CB554C" w:rsidRDefault="0049202B" w:rsidP="00A57695">
      <w:pPr>
        <w:pStyle w:val="BodyText"/>
        <w:ind w:firstLine="720"/>
        <w:rPr>
          <w:sz w:val="22"/>
          <w:szCs w:val="22"/>
          <w:lang w:val="sr-Cyrl-CS"/>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Ако се на једном пословном објекту налази више истакнутих фирми истог обвезника, таксу плаћа само за једну фирму.</w:t>
      </w:r>
    </w:p>
    <w:p w:rsidR="0049202B" w:rsidRPr="00CB554C" w:rsidRDefault="0049202B" w:rsidP="00A57695">
      <w:pPr>
        <w:spacing w:after="0" w:line="240" w:lineRule="auto"/>
        <w:ind w:firstLine="720"/>
        <w:jc w:val="both"/>
        <w:rPr>
          <w:rFonts w:ascii="Times New Roman" w:hAnsi="Times New Roman"/>
          <w:highlight w:val="yellow"/>
          <w:lang w:val="sr-Cyrl-CS"/>
        </w:rPr>
      </w:pPr>
      <w:r w:rsidRPr="00CB554C">
        <w:rPr>
          <w:rFonts w:ascii="Times New Roman" w:hAnsi="Times New Roman"/>
          <w:lang w:val="sr-Cyrl-CS"/>
        </w:rPr>
        <w:t>Nëse në një objekt  afarist gjenden të publikuara më shumë firma të të njëjtit obligues, taksën e paguan vetëm se për një firmë.</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lang w:val="sr-Cyrl-CS"/>
        </w:rPr>
        <w:lastRenderedPageBreak/>
        <w:t>Ако се пословно седиште обвезника налази ван територије општине Бујановац, а поседује пословну јединицу, огранак, заступништво и сл. на територији општине Бујановац, фирмарина се плаћа у одговарајућем износу из Тарифног броја 1.</w:t>
      </w:r>
    </w:p>
    <w:p w:rsidR="0049202B" w:rsidRPr="004922EE" w:rsidRDefault="0049202B" w:rsidP="00A57695">
      <w:pPr>
        <w:spacing w:after="0" w:line="240" w:lineRule="auto"/>
        <w:ind w:firstLine="720"/>
        <w:jc w:val="both"/>
        <w:rPr>
          <w:rFonts w:ascii="Times New Roman" w:hAnsi="Times New Roman"/>
          <w:lang w:val="sq-AL"/>
        </w:rPr>
      </w:pPr>
      <w:proofErr w:type="gramStart"/>
      <w:r w:rsidRPr="00CB554C">
        <w:rPr>
          <w:rFonts w:ascii="Times New Roman" w:hAnsi="Times New Roman"/>
        </w:rPr>
        <w:t>Nëse selia afariste e obliguesit gjendet jashtë territorit të Komunës së Buajnocit, ndërsa ka njësi afariste, degë, përfaqësi e të ngjajshme në territorin e Komunës së Bujanocit, taksa për firmë paguhet në shumën përkatëse nga numri tarifor 1.</w:t>
      </w:r>
      <w:proofErr w:type="gramEnd"/>
      <w:r w:rsidRPr="00CB554C">
        <w:rPr>
          <w:rFonts w:ascii="Times New Roman" w:hAnsi="Times New Roman"/>
        </w:rPr>
        <w:t xml:space="preserve"> </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За сваку фирму истакнуту ван пословног објекта плаћа се такса за сваку истакнуту фирму.</w:t>
      </w:r>
    </w:p>
    <w:p w:rsidR="0049202B" w:rsidRPr="004922EE"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Për secilën firmë të publikuar jashta objektit afarist taksa paguhet për secilën prej tyre.</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7.</w:t>
      </w:r>
    </w:p>
    <w:p w:rsidR="0049202B" w:rsidRPr="00CB554C" w:rsidRDefault="0049202B" w:rsidP="00A57695">
      <w:pPr>
        <w:pStyle w:val="BodyText"/>
        <w:ind w:firstLine="720"/>
        <w:rPr>
          <w:sz w:val="22"/>
          <w:szCs w:val="22"/>
          <w:lang w:val="sr-Cyrl-CS"/>
        </w:rPr>
      </w:pPr>
      <w:r w:rsidRPr="00CB554C">
        <w:rPr>
          <w:sz w:val="22"/>
          <w:szCs w:val="22"/>
          <w:lang w:val="sr-Cyrl-CS"/>
        </w:rPr>
        <w:t>Средства која се остваре наплатом комуналних такси су изворни приходи буџета општине.</w:t>
      </w:r>
    </w:p>
    <w:p w:rsidR="0049202B" w:rsidRPr="004922EE"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q-AL"/>
        </w:rPr>
        <w:t>Mjetet të cilat realizohen nga arkëtimi i taksave lokale komunale janë të hyra buxhetore të komunës</w:t>
      </w:r>
      <w:r>
        <w:rPr>
          <w:rFonts w:ascii="Times New Roman" w:hAnsi="Times New Roman"/>
          <w:lang w:val="sr-Cyrl-CS"/>
        </w:rPr>
        <w:t>.</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8.</w:t>
      </w:r>
    </w:p>
    <w:p w:rsidR="0049202B" w:rsidRPr="00CB554C" w:rsidRDefault="0049202B" w:rsidP="00A57695">
      <w:pPr>
        <w:pStyle w:val="BodyText"/>
        <w:ind w:firstLine="720"/>
        <w:rPr>
          <w:sz w:val="22"/>
          <w:szCs w:val="22"/>
          <w:lang w:val="sr-Cyrl-CS"/>
        </w:rPr>
      </w:pPr>
      <w:r w:rsidRPr="00CB554C">
        <w:rPr>
          <w:sz w:val="22"/>
          <w:szCs w:val="22"/>
          <w:lang w:val="sr-Cyrl-CS"/>
        </w:rPr>
        <w:t>Такса прописана таксеном тарифом плаћа се у новцу.</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Taksa e paraparë me tarifën mbi taksat paguhet me të holla.</w:t>
      </w:r>
    </w:p>
    <w:p w:rsidR="0049202B" w:rsidRPr="00CB554C" w:rsidRDefault="0049202B" w:rsidP="00A57695">
      <w:pPr>
        <w:pStyle w:val="BodyText"/>
        <w:rPr>
          <w:sz w:val="22"/>
          <w:szCs w:val="22"/>
          <w:lang w:val="sr-Cyrl-CS"/>
        </w:rPr>
      </w:pPr>
    </w:p>
    <w:p w:rsidR="0049202B" w:rsidRPr="00CB554C"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q-AL"/>
        </w:rPr>
        <w:t>К</w:t>
      </w:r>
      <w:r w:rsidRPr="00CB554C">
        <w:rPr>
          <w:rFonts w:ascii="Times New Roman" w:hAnsi="Times New Roman"/>
          <w:lang w:val="sr-Cyrl-CS"/>
        </w:rPr>
        <w:t>омунал</w:t>
      </w:r>
      <w:r w:rsidRPr="00CB554C">
        <w:rPr>
          <w:rFonts w:ascii="Times New Roman" w:hAnsi="Times New Roman"/>
        </w:rPr>
        <w:t>н</w:t>
      </w:r>
      <w:r w:rsidRPr="00CB554C">
        <w:rPr>
          <w:rFonts w:ascii="Times New Roman" w:hAnsi="Times New Roman"/>
          <w:lang w:val="sr-Cyrl-CS"/>
        </w:rPr>
        <w:t>е таксе плаћају се тромесечно у року од 45 дана од дана почетка тромесечја, а за самосталне делатности у року од 15 дана по истеку сваког месеца ако таксеном тарифом није другачије одређено.</w:t>
      </w:r>
    </w:p>
    <w:p w:rsidR="0049202B" w:rsidRPr="00CB554C" w:rsidRDefault="0049202B" w:rsidP="00A57695">
      <w:pPr>
        <w:spacing w:after="0" w:line="240" w:lineRule="auto"/>
        <w:ind w:firstLine="720"/>
        <w:jc w:val="both"/>
        <w:rPr>
          <w:rFonts w:ascii="Times New Roman" w:hAnsi="Times New Roman"/>
          <w:lang w:val="sr-Latn-CS"/>
        </w:rPr>
      </w:pPr>
      <w:r w:rsidRPr="00CB554C">
        <w:rPr>
          <w:rFonts w:ascii="Times New Roman" w:hAnsi="Times New Roman"/>
          <w:lang w:val="sr-Cyrl-CS"/>
        </w:rPr>
        <w:t>Taksat komunale paguhen në çdo tre muaj në afat prej 45 ditësh nga dita e fillimit të tremujorit, kurse për veprimtari të pavarura në afat prej 15 ditëve pas skadimit të secilit muaj nëse me tarifat mbi taksat nuk është caktuar ndryshe.</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9.</w:t>
      </w:r>
    </w:p>
    <w:p w:rsidR="0049202B" w:rsidRDefault="0049202B" w:rsidP="00A57695">
      <w:pPr>
        <w:pStyle w:val="BodyText"/>
        <w:ind w:firstLine="720"/>
        <w:jc w:val="both"/>
        <w:rPr>
          <w:sz w:val="22"/>
          <w:szCs w:val="22"/>
          <w:lang w:val="sq-AL"/>
        </w:rPr>
      </w:pPr>
      <w:r w:rsidRPr="00CB554C">
        <w:rPr>
          <w:b/>
          <w:sz w:val="22"/>
          <w:szCs w:val="22"/>
          <w:lang w:val="sr-Cyrl-CS"/>
        </w:rPr>
        <w:t>Утврђивање и контролу</w:t>
      </w:r>
      <w:r w:rsidRPr="00CB554C">
        <w:rPr>
          <w:sz w:val="22"/>
          <w:szCs w:val="22"/>
          <w:lang w:val="sr-Cyrl-CS"/>
        </w:rPr>
        <w:t xml:space="preserve"> наплате комуналних такси вршиће Одељење локалне пореске администрације по претходно издатом одобрењу Општинске управе – Одељења за урбанизам, комунално-стамбене послове или предузећа одређена одговарајућим тарифним бројем.</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b/>
          <w:sz w:val="22"/>
          <w:szCs w:val="22"/>
          <w:lang w:val="sr-Cyrl-CS"/>
        </w:rPr>
        <w:t>Përcaktimin dhe kontrollin</w:t>
      </w:r>
      <w:r w:rsidRPr="00CB554C">
        <w:rPr>
          <w:sz w:val="22"/>
          <w:szCs w:val="22"/>
          <w:lang w:val="sr-Cyrl-CS"/>
        </w:rPr>
        <w:t xml:space="preserve"> e аrkëtimit të taksave lokale komunale e kryen Drejtorati për administratë tatimore lokale i Administratës komunale sipas lejes paraprake të dhënë Administratës komunale – Drejtorati për urbanizëm, punë banesoro-komunale ose ndërmarrjet e përcaktuara me numrin tarifor përkatës.</w:t>
      </w:r>
    </w:p>
    <w:p w:rsidR="0049202B" w:rsidRPr="00CB554C" w:rsidRDefault="0049202B" w:rsidP="00A57695">
      <w:pPr>
        <w:spacing w:after="0" w:line="240" w:lineRule="auto"/>
        <w:ind w:firstLine="720"/>
        <w:jc w:val="both"/>
        <w:rPr>
          <w:rFonts w:ascii="Times New Roman" w:hAnsi="Times New Roman"/>
          <w:lang w:val="sq-AL"/>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Обвезник комуналне таксе је дужан да пре коришћења права, предмета или услуга, за чије је коришћење прописано плаћање комуналне таксе, изврши пријаву постојања основа за плаћање локалне комуналне таксе Општинској управи – Одељењу локалне пореске администрације.</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Taksapagues</w:t>
      </w:r>
      <w:r w:rsidRPr="00CB554C">
        <w:rPr>
          <w:rFonts w:ascii="Times New Roman" w:hAnsi="Times New Roman"/>
          <w:lang w:val="sq-AL"/>
        </w:rPr>
        <w:t xml:space="preserve">ii taksës komunale </w:t>
      </w:r>
      <w:r w:rsidRPr="00CB554C">
        <w:rPr>
          <w:rFonts w:ascii="Times New Roman" w:hAnsi="Times New Roman"/>
          <w:lang w:val="sr-Cyrl-CS"/>
        </w:rPr>
        <w:t xml:space="preserve">është i obliguar që para se ta shfrytëzoj të drejtën, </w:t>
      </w:r>
      <w:r w:rsidRPr="00CB554C">
        <w:rPr>
          <w:rFonts w:ascii="Times New Roman" w:hAnsi="Times New Roman"/>
          <w:lang w:val="sq-AL"/>
        </w:rPr>
        <w:t>gjërat</w:t>
      </w:r>
      <w:r w:rsidRPr="00CB554C">
        <w:rPr>
          <w:rFonts w:ascii="Times New Roman" w:hAnsi="Times New Roman"/>
          <w:lang w:val="sr-Cyrl-CS"/>
        </w:rPr>
        <w:t xml:space="preserve"> ose shërbimin, për shfrytëzimin e të cilës është paraparë pagesa e taksës komunale, e bënë paraqitjen e ekzistimit të bazës për pagesën e taksës </w:t>
      </w:r>
      <w:r w:rsidRPr="00CB554C">
        <w:rPr>
          <w:rFonts w:ascii="Times New Roman" w:hAnsi="Times New Roman"/>
          <w:lang w:val="sq-AL"/>
        </w:rPr>
        <w:t xml:space="preserve">lokale </w:t>
      </w:r>
      <w:r w:rsidRPr="00CB554C">
        <w:rPr>
          <w:rFonts w:ascii="Times New Roman" w:hAnsi="Times New Roman"/>
          <w:lang w:val="sr-Cyrl-CS"/>
        </w:rPr>
        <w:t xml:space="preserve">komunale, në Administratën komunale-në Drejtoratin </w:t>
      </w:r>
      <w:r w:rsidRPr="00CB554C">
        <w:rPr>
          <w:rFonts w:ascii="Times New Roman" w:hAnsi="Times New Roman"/>
          <w:lang w:val="sq-AL"/>
        </w:rPr>
        <w:t>për administratë tatimore lokale</w:t>
      </w:r>
      <w:r w:rsidRPr="00CB554C">
        <w:rPr>
          <w:rFonts w:ascii="Times New Roman" w:hAnsi="Times New Roman"/>
          <w:lang w:val="sr-Cyrl-CS"/>
        </w:rPr>
        <w:t>.</w:t>
      </w:r>
    </w:p>
    <w:p w:rsidR="0049202B" w:rsidRPr="00CB554C" w:rsidRDefault="0049202B" w:rsidP="00A57695">
      <w:pPr>
        <w:spacing w:after="0" w:line="240" w:lineRule="auto"/>
        <w:jc w:val="center"/>
        <w:rPr>
          <w:rFonts w:ascii="Times New Roman" w:hAnsi="Times New Roman"/>
          <w:b/>
          <w:lang w:val="sr-Cyrl-CS"/>
        </w:rPr>
      </w:pPr>
      <w:r w:rsidRPr="00CB554C">
        <w:rPr>
          <w:rFonts w:ascii="Times New Roman" w:hAnsi="Times New Roman"/>
          <w:b/>
          <w:bCs/>
          <w:lang w:val="sr-Cyrl-CS"/>
        </w:rPr>
        <w:t xml:space="preserve">Члан - Neni </w:t>
      </w:r>
      <w:r w:rsidRPr="00CB554C">
        <w:rPr>
          <w:rFonts w:ascii="Times New Roman" w:hAnsi="Times New Roman"/>
          <w:b/>
          <w:lang w:val="sr-Cyrl-CS"/>
        </w:rPr>
        <w:t>10.</w:t>
      </w:r>
    </w:p>
    <w:p w:rsidR="0049202B" w:rsidRPr="00CB554C" w:rsidRDefault="0049202B" w:rsidP="00A57695">
      <w:pPr>
        <w:spacing w:after="0" w:line="240" w:lineRule="auto"/>
        <w:ind w:firstLine="720"/>
        <w:rPr>
          <w:rFonts w:ascii="Times New Roman" w:hAnsi="Times New Roman"/>
          <w:lang w:val="sr-Cyrl-CS"/>
        </w:rPr>
      </w:pPr>
      <w:r w:rsidRPr="00CB554C">
        <w:rPr>
          <w:rFonts w:ascii="Times New Roman" w:hAnsi="Times New Roman"/>
          <w:lang w:val="sr-Cyrl-CS"/>
        </w:rPr>
        <w:t>Све што није регулисано овом одлуком примењиваће се Закон о проеском поступку и пореској администрацији.</w:t>
      </w:r>
    </w:p>
    <w:p w:rsidR="0049202B"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 xml:space="preserve">Gjithëçka  që nukështë e rrugulluar me këtë Vendim zabtohet Ligji mbi procedurën tatimore dhe administratën tatimore. </w:t>
      </w:r>
    </w:p>
    <w:p w:rsidR="00A57695" w:rsidRPr="00A57695" w:rsidRDefault="00A57695" w:rsidP="00A57695">
      <w:pPr>
        <w:spacing w:after="0" w:line="240" w:lineRule="auto"/>
        <w:ind w:firstLine="720"/>
        <w:jc w:val="both"/>
        <w:rPr>
          <w:rFonts w:ascii="Times New Roman" w:hAnsi="Times New Roman"/>
          <w:lang w:val="sq-AL"/>
        </w:rPr>
      </w:pPr>
    </w:p>
    <w:p w:rsidR="0049202B" w:rsidRPr="00CB554C" w:rsidRDefault="0049202B" w:rsidP="00A57695">
      <w:pPr>
        <w:spacing w:after="0" w:line="240" w:lineRule="auto"/>
        <w:ind w:left="720"/>
        <w:jc w:val="both"/>
        <w:rPr>
          <w:rFonts w:ascii="Times New Roman" w:hAnsi="Times New Roman"/>
          <w:b/>
          <w:bCs/>
        </w:rPr>
      </w:pPr>
      <w:r w:rsidRPr="00CB554C">
        <w:rPr>
          <w:rFonts w:ascii="Times New Roman" w:hAnsi="Times New Roman"/>
          <w:b/>
          <w:lang w:val="sq-AL"/>
        </w:rPr>
        <w:t>II.</w:t>
      </w:r>
      <w:r w:rsidRPr="00CB554C">
        <w:rPr>
          <w:rFonts w:ascii="Times New Roman" w:hAnsi="Times New Roman"/>
          <w:b/>
          <w:bCs/>
          <w:lang w:val="sr-Cyrl-CS"/>
        </w:rPr>
        <w:t>ПОСЕБНЕ ОДРЕДБЕ</w:t>
      </w:r>
    </w:p>
    <w:p w:rsidR="0049202B" w:rsidRDefault="0049202B" w:rsidP="00A57695">
      <w:pPr>
        <w:spacing w:after="0" w:line="240" w:lineRule="auto"/>
        <w:ind w:left="720"/>
        <w:jc w:val="both"/>
        <w:rPr>
          <w:rFonts w:ascii="Times New Roman" w:hAnsi="Times New Roman"/>
          <w:b/>
          <w:bCs/>
          <w:lang w:val="sq-AL"/>
        </w:rPr>
      </w:pPr>
      <w:r w:rsidRPr="00CB554C">
        <w:rPr>
          <w:rFonts w:ascii="Times New Roman" w:hAnsi="Times New Roman"/>
          <w:b/>
          <w:bCs/>
        </w:rPr>
        <w:t xml:space="preserve">II. </w:t>
      </w:r>
      <w:r>
        <w:rPr>
          <w:rFonts w:ascii="Times New Roman" w:hAnsi="Times New Roman"/>
          <w:b/>
          <w:bCs/>
          <w:lang w:val="sr-Cyrl-CS"/>
        </w:rPr>
        <w:t>DISPOZITAT E VEÇANTA</w:t>
      </w:r>
    </w:p>
    <w:p w:rsidR="00A57695" w:rsidRPr="00A57695" w:rsidRDefault="00A57695" w:rsidP="00A57695">
      <w:pPr>
        <w:spacing w:after="0" w:line="240" w:lineRule="auto"/>
        <w:ind w:left="720"/>
        <w:jc w:val="both"/>
        <w:rPr>
          <w:rFonts w:ascii="Times New Roman" w:hAnsi="Times New Roman"/>
          <w:b/>
          <w:bCs/>
          <w:lang w:val="sq-AL"/>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1</w:t>
      </w:r>
      <w:r w:rsidRPr="00CB554C">
        <w:rPr>
          <w:rFonts w:ascii="Times New Roman" w:hAnsi="Times New Roman"/>
          <w:b/>
          <w:bCs/>
        </w:rPr>
        <w:t>1</w:t>
      </w:r>
      <w:r w:rsidRPr="00CB554C">
        <w:rPr>
          <w:rFonts w:ascii="Times New Roman" w:hAnsi="Times New Roman"/>
          <w:b/>
          <w:bCs/>
          <w:lang w:val="sr-Cyrl-CS"/>
        </w:rPr>
        <w:t>.</w:t>
      </w:r>
    </w:p>
    <w:p w:rsidR="0049202B" w:rsidRPr="00CB554C" w:rsidRDefault="0049202B" w:rsidP="00A57695">
      <w:pPr>
        <w:pStyle w:val="BodyText"/>
        <w:ind w:firstLine="720"/>
        <w:jc w:val="both"/>
        <w:rPr>
          <w:sz w:val="22"/>
          <w:szCs w:val="22"/>
          <w:lang w:val="sq-AL"/>
        </w:rPr>
      </w:pPr>
      <w:r w:rsidRPr="00CB554C">
        <w:rPr>
          <w:sz w:val="22"/>
          <w:szCs w:val="22"/>
          <w:lang w:val="sr-Cyrl-CS"/>
        </w:rPr>
        <w:t xml:space="preserve"> Утврђивање, наплату као и послове контроле наплате комуналне таксе, врши Општинска управа – Одељење локалне пореске администрације.</w:t>
      </w:r>
    </w:p>
    <w:p w:rsidR="0049202B" w:rsidRPr="00CB554C" w:rsidRDefault="0049202B" w:rsidP="00A57695">
      <w:pPr>
        <w:pStyle w:val="BodyText"/>
        <w:ind w:firstLine="720"/>
        <w:jc w:val="both"/>
        <w:rPr>
          <w:sz w:val="22"/>
          <w:szCs w:val="22"/>
          <w:lang w:val="sq-AL"/>
        </w:rPr>
      </w:pPr>
      <w:r w:rsidRPr="00CB554C">
        <w:rPr>
          <w:sz w:val="22"/>
          <w:szCs w:val="22"/>
          <w:lang w:val="sq-AL"/>
        </w:rPr>
        <w:t xml:space="preserve">Përcaktimin, pagesën si edhe punët e kontrollit të pagesës së taksës komunale, kryen </w:t>
      </w:r>
      <w:r w:rsidRPr="00CB554C">
        <w:rPr>
          <w:sz w:val="22"/>
          <w:szCs w:val="22"/>
          <w:lang w:val="sr-Cyrl-CS"/>
        </w:rPr>
        <w:t>Administrat</w:t>
      </w:r>
      <w:r w:rsidRPr="00CB554C">
        <w:rPr>
          <w:sz w:val="22"/>
          <w:szCs w:val="22"/>
          <w:lang w:val="sq-AL"/>
        </w:rPr>
        <w:t>a</w:t>
      </w:r>
      <w:r w:rsidRPr="00CB554C">
        <w:rPr>
          <w:sz w:val="22"/>
          <w:szCs w:val="22"/>
          <w:lang w:val="sr-Cyrl-CS"/>
        </w:rPr>
        <w:t xml:space="preserve"> komunale-Drejtoratin </w:t>
      </w:r>
      <w:r w:rsidRPr="00CB554C">
        <w:rPr>
          <w:sz w:val="22"/>
          <w:szCs w:val="22"/>
          <w:lang w:val="sq-AL"/>
        </w:rPr>
        <w:t>për administratë tatimore lokale.</w:t>
      </w:r>
    </w:p>
    <w:p w:rsidR="0049202B" w:rsidRPr="00CB554C" w:rsidRDefault="0049202B" w:rsidP="00A57695">
      <w:pPr>
        <w:pStyle w:val="BodyText"/>
        <w:rPr>
          <w:sz w:val="22"/>
          <w:szCs w:val="22"/>
          <w:lang w:val="sr-Cyrl-CS"/>
        </w:rPr>
      </w:pPr>
    </w:p>
    <w:p w:rsidR="0049202B" w:rsidRPr="00CB554C" w:rsidRDefault="0049202B" w:rsidP="00A57695">
      <w:pPr>
        <w:pStyle w:val="BodyText"/>
        <w:rPr>
          <w:sz w:val="22"/>
          <w:szCs w:val="22"/>
          <w:lang w:val="sr-Cyrl-CS"/>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1</w:t>
      </w:r>
      <w:r w:rsidRPr="00CB554C">
        <w:rPr>
          <w:rFonts w:ascii="Times New Roman" w:hAnsi="Times New Roman"/>
          <w:b/>
          <w:bCs/>
        </w:rPr>
        <w:t>2</w:t>
      </w:r>
      <w:r w:rsidRPr="00CB554C">
        <w:rPr>
          <w:rFonts w:ascii="Times New Roman" w:hAnsi="Times New Roman"/>
          <w:b/>
          <w:bCs/>
          <w:lang w:val="sr-Cyrl-CS"/>
        </w:rPr>
        <w:t>.</w:t>
      </w:r>
    </w:p>
    <w:p w:rsidR="0049202B" w:rsidRDefault="0049202B" w:rsidP="00A57695">
      <w:pPr>
        <w:pStyle w:val="BodyText"/>
        <w:ind w:firstLine="720"/>
        <w:jc w:val="both"/>
        <w:rPr>
          <w:sz w:val="22"/>
          <w:szCs w:val="22"/>
          <w:lang w:val="sq-AL"/>
        </w:rPr>
      </w:pPr>
      <w:r w:rsidRPr="00CB554C">
        <w:rPr>
          <w:sz w:val="22"/>
          <w:szCs w:val="22"/>
          <w:lang w:val="sr-Cyrl-CS"/>
        </w:rPr>
        <w:t>Таксеном тарифом, која је саставни део ове одлуке, утврђују се комуналне таксе у различитој висини, зависно од врсте делатности, површине и техничко-употребних карактеристика објеката по зонама у којима се налазе објекти, предмети или врше услуге за које се плаћају таксе.</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Me tarifën e taksave, që është pjesë përbërëse e këtij vendimi, përcaktohen taksat komunale në shuma të ndryshme, varësishtë prej llojit të veprimtarisë, sipërfaqes dhe të krakteristikave tekniko – shfrytëzuese të objektit sipas zonave në të cilat gjenden objektet, lëndët-sendet ose kryhen shërbime për të cilat paguhet kjo taksë.</w:t>
      </w:r>
    </w:p>
    <w:p w:rsidR="0049202B" w:rsidRPr="00CB554C" w:rsidRDefault="0049202B" w:rsidP="00A57695">
      <w:pPr>
        <w:pStyle w:val="BodyText"/>
        <w:rPr>
          <w:sz w:val="22"/>
          <w:szCs w:val="22"/>
          <w:lang w:val="sr-Cyrl-CS"/>
        </w:rPr>
      </w:pPr>
    </w:p>
    <w:p w:rsidR="0049202B" w:rsidRPr="00CB554C" w:rsidRDefault="0049202B" w:rsidP="00A57695">
      <w:pPr>
        <w:spacing w:after="0" w:line="240" w:lineRule="auto"/>
        <w:jc w:val="center"/>
        <w:rPr>
          <w:rFonts w:ascii="Times New Roman" w:hAnsi="Times New Roman"/>
          <w:b/>
          <w:lang w:val="sr-Cyrl-CS"/>
        </w:rPr>
      </w:pPr>
      <w:r w:rsidRPr="00CB554C">
        <w:rPr>
          <w:rFonts w:ascii="Times New Roman" w:hAnsi="Times New Roman"/>
          <w:b/>
          <w:bCs/>
          <w:lang w:val="sr-Cyrl-CS"/>
        </w:rPr>
        <w:t xml:space="preserve">Члан - Neni </w:t>
      </w:r>
      <w:r w:rsidRPr="00CB554C">
        <w:rPr>
          <w:rFonts w:ascii="Times New Roman" w:hAnsi="Times New Roman"/>
          <w:b/>
          <w:lang w:val="sr-Cyrl-CS"/>
        </w:rPr>
        <w:t>1</w:t>
      </w:r>
      <w:r w:rsidRPr="00CB554C">
        <w:rPr>
          <w:rFonts w:ascii="Times New Roman" w:hAnsi="Times New Roman"/>
          <w:b/>
        </w:rPr>
        <w:t>3</w:t>
      </w:r>
      <w:r w:rsidRPr="00CB554C">
        <w:rPr>
          <w:rFonts w:ascii="Times New Roman" w:hAnsi="Times New Roman"/>
          <w:b/>
          <w:lang w:val="sr-Cyrl-CS"/>
        </w:rPr>
        <w:t>.</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Локалне комуналне таксе утврђују се у различитој висини по зонама у којима се налазе објекти, предмети или врше услуге и то:</w:t>
      </w:r>
    </w:p>
    <w:p w:rsidR="0049202B"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 xml:space="preserve">Taksat lokale komunale përcaktohen në shuma të ndryshme sipas zonave në të cilat gjenden objektet, lëndët-sendet </w:t>
      </w:r>
      <w:r>
        <w:rPr>
          <w:rFonts w:ascii="Times New Roman" w:hAnsi="Times New Roman"/>
          <w:lang w:val="sr-Cyrl-CS"/>
        </w:rPr>
        <w:t>ose kryhen shërbimet:</w:t>
      </w:r>
    </w:p>
    <w:p w:rsidR="00A57695" w:rsidRPr="00A57695" w:rsidRDefault="00A57695" w:rsidP="00A57695">
      <w:pPr>
        <w:spacing w:after="0" w:line="240" w:lineRule="auto"/>
        <w:ind w:firstLine="720"/>
        <w:jc w:val="both"/>
        <w:rPr>
          <w:rFonts w:ascii="Times New Roman" w:hAnsi="Times New Roman"/>
          <w:lang w:val="sq-AL"/>
        </w:rPr>
      </w:pPr>
    </w:p>
    <w:p w:rsidR="0049202B" w:rsidRPr="00CB554C" w:rsidRDefault="0049202B" w:rsidP="00A57695">
      <w:pPr>
        <w:pStyle w:val="BodyText"/>
        <w:ind w:firstLine="720"/>
        <w:rPr>
          <w:sz w:val="22"/>
          <w:szCs w:val="22"/>
          <w:u w:val="single"/>
        </w:rPr>
      </w:pPr>
      <w:r w:rsidRPr="00CB554C">
        <w:rPr>
          <w:b/>
          <w:bCs/>
          <w:sz w:val="22"/>
          <w:szCs w:val="22"/>
          <w:u w:val="single"/>
          <w:lang w:val="it-IT"/>
        </w:rPr>
        <w:t>ЗОН</w:t>
      </w:r>
      <w:r w:rsidRPr="00CB554C">
        <w:rPr>
          <w:b/>
          <w:bCs/>
          <w:sz w:val="22"/>
          <w:szCs w:val="22"/>
          <w:u w:val="single"/>
        </w:rPr>
        <w:t xml:space="preserve">А - </w:t>
      </w:r>
      <w:r w:rsidRPr="00CB554C">
        <w:rPr>
          <w:b/>
          <w:bCs/>
          <w:sz w:val="22"/>
          <w:szCs w:val="22"/>
          <w:u w:val="single"/>
          <w:lang w:val="it-IT"/>
        </w:rPr>
        <w:t>ZONA I</w:t>
      </w:r>
      <w:r w:rsidRPr="00CB554C">
        <w:rPr>
          <w:b/>
          <w:bCs/>
          <w:sz w:val="22"/>
          <w:szCs w:val="22"/>
          <w:lang w:val="it-IT"/>
        </w:rPr>
        <w:t>:</w:t>
      </w:r>
      <w:r w:rsidRPr="00CB554C">
        <w:rPr>
          <w:sz w:val="22"/>
          <w:szCs w:val="22"/>
        </w:rPr>
        <w:tab/>
      </w:r>
    </w:p>
    <w:p w:rsidR="0049202B" w:rsidRPr="00CB554C" w:rsidRDefault="0049202B" w:rsidP="00A57695">
      <w:pPr>
        <w:pStyle w:val="BodyText"/>
        <w:rPr>
          <w:sz w:val="22"/>
          <w:szCs w:val="22"/>
        </w:rPr>
      </w:pPr>
      <w:r w:rsidRPr="00CB554C">
        <w:rPr>
          <w:sz w:val="22"/>
          <w:szCs w:val="22"/>
          <w:lang w:val="sq-AL"/>
        </w:rPr>
        <w:tab/>
      </w:r>
    </w:p>
    <w:p w:rsidR="0049202B" w:rsidRPr="00CB554C"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п</w:t>
      </w:r>
      <w:r w:rsidRPr="00CB554C">
        <w:rPr>
          <w:rFonts w:ascii="Times New Roman" w:hAnsi="Times New Roman"/>
          <w:lang w:val="sq-AL"/>
        </w:rPr>
        <w:t>росторна јединица број: 1а, 1, 2, 3, 4, 5, 6, 7, 8, 9, 10, 11, 14, 15, 16, 17, 22, 23 и 24 (коју обухвата улице Карађорђа Петровића, Книнска, Пчињска, десна и део леве стране ул. Јосифа Јањића, Браћа Југовића, Саве Ковачевића, десна и део леве стране ул. Краља Милутина, Слободана Пенезића, Четврти  јули, део В.Степе Степановића, Вељка Влаховића, Браће Стошића, Вука Кара</w:t>
      </w:r>
      <w:r w:rsidRPr="00CB554C">
        <w:rPr>
          <w:rFonts w:ascii="Times New Roman" w:hAnsi="Times New Roman"/>
          <w:lang w:val="sr-Cyrl-CS"/>
        </w:rPr>
        <w:t>џ</w:t>
      </w:r>
      <w:r w:rsidRPr="00CB554C">
        <w:rPr>
          <w:rFonts w:ascii="Times New Roman" w:hAnsi="Times New Roman"/>
          <w:lang w:val="sq-AL"/>
        </w:rPr>
        <w:t xml:space="preserve">ића, Први мај, Јована Цвијића, Хиландарска, Радомира Путника, Боре Станковића, део ул. </w:t>
      </w:r>
      <w:proofErr w:type="gramStart"/>
      <w:r w:rsidRPr="00CB554C">
        <w:rPr>
          <w:rFonts w:ascii="Times New Roman" w:hAnsi="Times New Roman"/>
        </w:rPr>
        <w:t>Иљаз Сељими</w:t>
      </w:r>
      <w:r w:rsidRPr="00CB554C">
        <w:rPr>
          <w:rFonts w:ascii="Times New Roman" w:hAnsi="Times New Roman"/>
          <w:lang w:val="sq-AL"/>
        </w:rPr>
        <w:t>, део ул.</w:t>
      </w:r>
      <w:proofErr w:type="gramEnd"/>
      <w:r w:rsidRPr="00CB554C">
        <w:rPr>
          <w:rFonts w:ascii="Times New Roman" w:hAnsi="Times New Roman"/>
          <w:lang w:val="sq-AL"/>
        </w:rPr>
        <w:t xml:space="preserve"> Беким Фе</w:t>
      </w:r>
      <w:r w:rsidRPr="00CB554C">
        <w:rPr>
          <w:rFonts w:ascii="Times New Roman" w:hAnsi="Times New Roman"/>
        </w:rPr>
        <w:t>х</w:t>
      </w:r>
      <w:r w:rsidRPr="00CB554C">
        <w:rPr>
          <w:rFonts w:ascii="Times New Roman" w:hAnsi="Times New Roman"/>
          <w:lang w:val="sq-AL"/>
        </w:rPr>
        <w:t xml:space="preserve">миу, део ул. </w:t>
      </w:r>
      <w:proofErr w:type="gramStart"/>
      <w:r w:rsidRPr="00CB554C">
        <w:rPr>
          <w:rFonts w:ascii="Times New Roman" w:hAnsi="Times New Roman"/>
        </w:rPr>
        <w:t>Косовска</w:t>
      </w:r>
      <w:r w:rsidRPr="00CB554C">
        <w:rPr>
          <w:rFonts w:ascii="Times New Roman" w:hAnsi="Times New Roman"/>
          <w:lang w:val="sq-AL"/>
        </w:rPr>
        <w:t>, лева страна ул.</w:t>
      </w:r>
      <w:proofErr w:type="gramEnd"/>
      <w:r w:rsidRPr="00CB554C">
        <w:rPr>
          <w:rFonts w:ascii="Times New Roman" w:hAnsi="Times New Roman"/>
          <w:lang w:val="sq-AL"/>
        </w:rPr>
        <w:t xml:space="preserve"> Моравске, Драгољуба Динковића, Александра Станковића, Индустријска зона, Симе Погаћаревића и део ул. Гњиланског пута). </w:t>
      </w:r>
    </w:p>
    <w:p w:rsidR="0049202B" w:rsidRPr="00590DF7"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r-Cyrl-CS"/>
        </w:rPr>
        <w:t xml:space="preserve">njësia hapsinore numër: 1a, 2, 3, 4, 5, 6, 7, 8, 9, 10, 11 14, 15 16, 17, 22, 23 dhe 24 (e cila përfshinë rrugët K. Petroviq, rruga e Kninit, Pçinjës, ana e djathtë dhe një pjesë e anës së majtë të rruugës Josif  Janjiq, Vëllezërit Jugoviq, Sava Kovaçeviq, ana e djathtë dhe një pjesë e anës së majtë të rruugës së Mbretit Millutin, Sllobodan Peneziqit, 4 korriku, një pjesë e V. Stepe Stepanoviq, Velko Vllahoviq, Vëllezërve Stoshiq, Vuk Karaxhiq, Një Maji, Jovan Cvijiqit, Hilandarit, Radomir Putnik, Bora Stankoviq, një pjesë e rr. </w:t>
      </w:r>
      <w:r w:rsidRPr="00CB554C">
        <w:rPr>
          <w:rFonts w:ascii="Times New Roman" w:hAnsi="Times New Roman"/>
          <w:lang w:val="sq-AL"/>
        </w:rPr>
        <w:t>Ilaz Selimit</w:t>
      </w:r>
      <w:r w:rsidRPr="00CB554C">
        <w:rPr>
          <w:rFonts w:ascii="Times New Roman" w:hAnsi="Times New Roman"/>
          <w:lang w:val="sr-Cyrl-CS"/>
        </w:rPr>
        <w:t>, një pjesë e rr.</w:t>
      </w:r>
      <w:r w:rsidRPr="00CB554C">
        <w:rPr>
          <w:rFonts w:ascii="Times New Roman" w:hAnsi="Times New Roman"/>
          <w:lang w:val="sq-AL"/>
        </w:rPr>
        <w:t xml:space="preserve"> Bekim Fehmiu</w:t>
      </w:r>
      <w:r w:rsidRPr="00CB554C">
        <w:rPr>
          <w:rFonts w:ascii="Times New Roman" w:hAnsi="Times New Roman"/>
          <w:lang w:val="sr-Cyrl-CS"/>
        </w:rPr>
        <w:t>, një pjesë e rr.së Kosovës, ana e majtë e Moravës, Dragolub Dimkoviq, Aleksandër Stankoviq, Sima Pogaçareviq dhe n</w:t>
      </w:r>
      <w:r>
        <w:rPr>
          <w:rFonts w:ascii="Times New Roman" w:hAnsi="Times New Roman"/>
          <w:lang w:val="sr-Cyrl-CS"/>
        </w:rPr>
        <w:t>jë pjesë e rrugës së Gjilanit).</w:t>
      </w:r>
    </w:p>
    <w:p w:rsidR="0049202B" w:rsidRPr="00CB554C" w:rsidRDefault="0049202B" w:rsidP="00A57695">
      <w:pPr>
        <w:pStyle w:val="BodyText"/>
        <w:rPr>
          <w:sz w:val="22"/>
          <w:szCs w:val="22"/>
          <w:highlight w:val="yellow"/>
        </w:rPr>
      </w:pPr>
    </w:p>
    <w:p w:rsidR="0049202B" w:rsidRPr="00CB554C" w:rsidRDefault="0049202B" w:rsidP="00A57695">
      <w:pPr>
        <w:pStyle w:val="BodyText"/>
        <w:ind w:firstLine="720"/>
        <w:rPr>
          <w:b/>
          <w:bCs/>
          <w:sz w:val="22"/>
          <w:szCs w:val="22"/>
          <w:lang w:val="it-IT"/>
        </w:rPr>
      </w:pPr>
      <w:r w:rsidRPr="00CB554C">
        <w:rPr>
          <w:b/>
          <w:bCs/>
          <w:sz w:val="22"/>
          <w:szCs w:val="22"/>
          <w:u w:val="single"/>
          <w:lang w:val="it-IT"/>
        </w:rPr>
        <w:t>ЗОН</w:t>
      </w:r>
      <w:r w:rsidRPr="00CB554C">
        <w:rPr>
          <w:b/>
          <w:bCs/>
          <w:sz w:val="22"/>
          <w:szCs w:val="22"/>
          <w:u w:val="single"/>
        </w:rPr>
        <w:t>А</w:t>
      </w:r>
      <w:r w:rsidRPr="00CB554C">
        <w:rPr>
          <w:b/>
          <w:bCs/>
          <w:sz w:val="22"/>
          <w:szCs w:val="22"/>
          <w:lang w:val="it-IT"/>
        </w:rPr>
        <w:t xml:space="preserve"> -</w:t>
      </w:r>
      <w:r w:rsidRPr="00CB554C">
        <w:rPr>
          <w:b/>
          <w:bCs/>
          <w:sz w:val="22"/>
          <w:szCs w:val="22"/>
          <w:u w:val="single"/>
          <w:lang w:val="it-IT"/>
        </w:rPr>
        <w:t xml:space="preserve"> ZONA II</w:t>
      </w:r>
      <w:r w:rsidRPr="00CB554C">
        <w:rPr>
          <w:b/>
          <w:bCs/>
          <w:sz w:val="22"/>
          <w:szCs w:val="22"/>
          <w:lang w:val="it-IT"/>
        </w:rPr>
        <w:t>:</w:t>
      </w:r>
    </w:p>
    <w:p w:rsidR="0049202B" w:rsidRPr="00CB554C" w:rsidRDefault="0049202B" w:rsidP="00A57695">
      <w:pPr>
        <w:pStyle w:val="BodyText"/>
        <w:rPr>
          <w:sz w:val="22"/>
          <w:szCs w:val="22"/>
        </w:rPr>
      </w:pPr>
      <w:r w:rsidRPr="00CB554C">
        <w:rPr>
          <w:sz w:val="22"/>
          <w:szCs w:val="22"/>
        </w:rPr>
        <w:tab/>
      </w:r>
    </w:p>
    <w:p w:rsidR="0049202B" w:rsidRPr="00CB554C" w:rsidRDefault="0049202B" w:rsidP="00A57695">
      <w:pPr>
        <w:spacing w:after="0" w:line="240" w:lineRule="auto"/>
        <w:ind w:firstLine="709"/>
        <w:jc w:val="both"/>
        <w:rPr>
          <w:rFonts w:ascii="Times New Roman" w:hAnsi="Times New Roman"/>
        </w:rPr>
      </w:pPr>
      <w:r w:rsidRPr="00CB554C">
        <w:rPr>
          <w:rFonts w:ascii="Times New Roman" w:hAnsi="Times New Roman"/>
          <w:lang w:val="sr-Cyrl-CS"/>
        </w:rPr>
        <w:t>п</w:t>
      </w:r>
      <w:r w:rsidRPr="00CB554C">
        <w:rPr>
          <w:rFonts w:ascii="Times New Roman" w:hAnsi="Times New Roman"/>
          <w:lang w:val="sq-AL"/>
        </w:rPr>
        <w:t xml:space="preserve">росторна јединица број: 12, 13, 18, 19, 20, 21, 25, 33 и 44 (коју обухвата улице део ул. Јосифа Јањића, Стевана Синђелића, Хајдук Вељка, део ул. В. Степе Степановића, десна страна ул. Моравске, </w:t>
      </w:r>
      <w:r w:rsidRPr="00CB554C">
        <w:rPr>
          <w:rFonts w:ascii="Times New Roman" w:hAnsi="Times New Roman"/>
        </w:rPr>
        <w:t>Ђурђевданска</w:t>
      </w:r>
      <w:r w:rsidRPr="00CB554C">
        <w:rPr>
          <w:rFonts w:ascii="Times New Roman" w:hAnsi="Times New Roman"/>
          <w:lang w:val="sq-AL"/>
        </w:rPr>
        <w:t xml:space="preserve">, </w:t>
      </w:r>
      <w:r w:rsidRPr="00CB554C">
        <w:rPr>
          <w:rFonts w:ascii="Times New Roman" w:hAnsi="Times New Roman"/>
        </w:rPr>
        <w:t>Шабан Бајрамовић</w:t>
      </w:r>
      <w:r w:rsidRPr="00CB554C">
        <w:rPr>
          <w:rFonts w:ascii="Times New Roman" w:hAnsi="Times New Roman"/>
          <w:lang w:val="sq-AL"/>
        </w:rPr>
        <w:t xml:space="preserve">, Миђени, Драгачевска, </w:t>
      </w:r>
      <w:r w:rsidRPr="00CB554C">
        <w:rPr>
          <w:rFonts w:ascii="Times New Roman" w:hAnsi="Times New Roman"/>
        </w:rPr>
        <w:t>Саит Балић</w:t>
      </w:r>
      <w:r w:rsidRPr="00CB554C">
        <w:rPr>
          <w:rFonts w:ascii="Times New Roman" w:hAnsi="Times New Roman"/>
          <w:lang w:val="sq-AL"/>
        </w:rPr>
        <w:t xml:space="preserve">, </w:t>
      </w:r>
      <w:r w:rsidRPr="00CB554C">
        <w:rPr>
          <w:rFonts w:ascii="Times New Roman" w:hAnsi="Times New Roman"/>
        </w:rPr>
        <w:t>Зулфићар Бајрамовић</w:t>
      </w:r>
      <w:r w:rsidRPr="00CB554C">
        <w:rPr>
          <w:rFonts w:ascii="Times New Roman" w:hAnsi="Times New Roman"/>
          <w:lang w:val="sq-AL"/>
        </w:rPr>
        <w:t xml:space="preserve">, </w:t>
      </w:r>
      <w:r w:rsidRPr="00CB554C">
        <w:rPr>
          <w:rFonts w:ascii="Times New Roman" w:hAnsi="Times New Roman"/>
        </w:rPr>
        <w:t>Ђаковичка</w:t>
      </w:r>
      <w:r w:rsidRPr="00CB554C">
        <w:rPr>
          <w:rFonts w:ascii="Times New Roman" w:hAnsi="Times New Roman"/>
          <w:lang w:val="sq-AL"/>
        </w:rPr>
        <w:t xml:space="preserve">, Југ Богданова, </w:t>
      </w:r>
      <w:r w:rsidRPr="00CB554C">
        <w:rPr>
          <w:rFonts w:ascii="Times New Roman" w:hAnsi="Times New Roman"/>
        </w:rPr>
        <w:t>Призренска</w:t>
      </w:r>
      <w:r w:rsidRPr="00CB554C">
        <w:rPr>
          <w:rFonts w:ascii="Times New Roman" w:hAnsi="Times New Roman"/>
          <w:lang w:val="sq-AL"/>
        </w:rPr>
        <w:t>, део ул. Гњилански пут, део Лопардинског пута, део ул.</w:t>
      </w:r>
      <w:r w:rsidRPr="00CB554C">
        <w:rPr>
          <w:rFonts w:ascii="Times New Roman" w:hAnsi="Times New Roman"/>
        </w:rPr>
        <w:t xml:space="preserve"> </w:t>
      </w:r>
      <w:proofErr w:type="gramStart"/>
      <w:r w:rsidRPr="00CB554C">
        <w:rPr>
          <w:rFonts w:ascii="Times New Roman" w:hAnsi="Times New Roman"/>
        </w:rPr>
        <w:t>Иљаз Сељими</w:t>
      </w:r>
      <w:r w:rsidRPr="00CB554C">
        <w:rPr>
          <w:rFonts w:ascii="Times New Roman" w:hAnsi="Times New Roman"/>
          <w:lang w:val="sq-AL"/>
        </w:rPr>
        <w:t>, део ул.</w:t>
      </w:r>
      <w:proofErr w:type="gramEnd"/>
      <w:r w:rsidRPr="00CB554C">
        <w:rPr>
          <w:rFonts w:ascii="Times New Roman" w:hAnsi="Times New Roman"/>
        </w:rPr>
        <w:t xml:space="preserve"> </w:t>
      </w:r>
      <w:proofErr w:type="gramStart"/>
      <w:r w:rsidRPr="00CB554C">
        <w:rPr>
          <w:rFonts w:ascii="Times New Roman" w:hAnsi="Times New Roman"/>
        </w:rPr>
        <w:t>Беким Фехмиу</w:t>
      </w:r>
      <w:r w:rsidRPr="00CB554C">
        <w:rPr>
          <w:rFonts w:ascii="Times New Roman" w:hAnsi="Times New Roman"/>
          <w:lang w:val="sq-AL"/>
        </w:rPr>
        <w:t>, део ул.</w:t>
      </w:r>
      <w:proofErr w:type="gramEnd"/>
      <w:r w:rsidRPr="00CB554C">
        <w:rPr>
          <w:rFonts w:ascii="Times New Roman" w:hAnsi="Times New Roman"/>
          <w:lang w:val="sq-AL"/>
        </w:rPr>
        <w:t xml:space="preserve"> </w:t>
      </w:r>
      <w:proofErr w:type="gramStart"/>
      <w:r w:rsidRPr="00CB554C">
        <w:rPr>
          <w:rFonts w:ascii="Times New Roman" w:hAnsi="Times New Roman"/>
        </w:rPr>
        <w:t>Косовска</w:t>
      </w:r>
      <w:r w:rsidRPr="00CB554C">
        <w:rPr>
          <w:rFonts w:ascii="Times New Roman" w:hAnsi="Times New Roman"/>
          <w:lang w:val="sq-AL"/>
        </w:rPr>
        <w:t xml:space="preserve">, </w:t>
      </w:r>
      <w:r w:rsidRPr="00CB554C">
        <w:rPr>
          <w:rFonts w:ascii="Times New Roman" w:hAnsi="Times New Roman"/>
        </w:rPr>
        <w:t>Наим Фрашери</w:t>
      </w:r>
      <w:r w:rsidRPr="00CB554C">
        <w:rPr>
          <w:rFonts w:ascii="Times New Roman" w:hAnsi="Times New Roman"/>
          <w:lang w:val="sq-AL"/>
        </w:rPr>
        <w:t>, део ул.</w:t>
      </w:r>
      <w:proofErr w:type="gramEnd"/>
      <w:r w:rsidRPr="00CB554C">
        <w:rPr>
          <w:rFonts w:ascii="Times New Roman" w:hAnsi="Times New Roman"/>
          <w:lang w:val="sq-AL"/>
        </w:rPr>
        <w:t xml:space="preserve"> </w:t>
      </w:r>
      <w:proofErr w:type="gramStart"/>
      <w:r w:rsidRPr="00CB554C">
        <w:rPr>
          <w:rFonts w:ascii="Times New Roman" w:hAnsi="Times New Roman"/>
        </w:rPr>
        <w:t>Мајка Тереза</w:t>
      </w:r>
      <w:r w:rsidRPr="00CB554C">
        <w:rPr>
          <w:rFonts w:ascii="Times New Roman" w:hAnsi="Times New Roman"/>
          <w:lang w:val="sq-AL"/>
        </w:rPr>
        <w:t>, лева страна ул.</w:t>
      </w:r>
      <w:proofErr w:type="gramEnd"/>
      <w:r w:rsidRPr="00CB554C">
        <w:rPr>
          <w:rFonts w:ascii="Times New Roman" w:hAnsi="Times New Roman"/>
          <w:lang w:val="sq-AL"/>
        </w:rPr>
        <w:t xml:space="preserve"> </w:t>
      </w:r>
      <w:proofErr w:type="gramStart"/>
      <w:r w:rsidRPr="00CB554C">
        <w:rPr>
          <w:rFonts w:ascii="Times New Roman" w:hAnsi="Times New Roman"/>
        </w:rPr>
        <w:t>Асдрени</w:t>
      </w:r>
      <w:r w:rsidRPr="00CB554C">
        <w:rPr>
          <w:rFonts w:ascii="Times New Roman" w:hAnsi="Times New Roman"/>
          <w:lang w:val="sq-AL"/>
        </w:rPr>
        <w:t xml:space="preserve"> и десна страна ул.</w:t>
      </w:r>
      <w:proofErr w:type="gramEnd"/>
      <w:r w:rsidRPr="00CB554C">
        <w:rPr>
          <w:rFonts w:ascii="Times New Roman" w:hAnsi="Times New Roman"/>
          <w:lang w:val="sq-AL"/>
        </w:rPr>
        <w:t xml:space="preserve"> </w:t>
      </w:r>
      <w:proofErr w:type="gramStart"/>
      <w:r w:rsidRPr="00CB554C">
        <w:rPr>
          <w:rFonts w:ascii="Times New Roman" w:hAnsi="Times New Roman"/>
        </w:rPr>
        <w:t>Сами Фрашери, улица Морава 76, и део ул.</w:t>
      </w:r>
      <w:proofErr w:type="gramEnd"/>
      <w:r w:rsidRPr="00CB554C">
        <w:rPr>
          <w:rFonts w:ascii="Times New Roman" w:hAnsi="Times New Roman"/>
        </w:rPr>
        <w:t xml:space="preserve"> </w:t>
      </w:r>
      <w:proofErr w:type="gramStart"/>
      <w:r w:rsidRPr="00CB554C">
        <w:rPr>
          <w:rFonts w:ascii="Times New Roman" w:hAnsi="Times New Roman"/>
        </w:rPr>
        <w:t>Јаћима Ђошића).</w:t>
      </w:r>
      <w:proofErr w:type="gramEnd"/>
    </w:p>
    <w:p w:rsidR="0049202B" w:rsidRPr="00CB554C" w:rsidRDefault="0049202B" w:rsidP="00A57695">
      <w:pPr>
        <w:spacing w:after="0" w:line="240" w:lineRule="auto"/>
        <w:ind w:firstLine="708"/>
        <w:jc w:val="both"/>
        <w:rPr>
          <w:rFonts w:ascii="Times New Roman" w:hAnsi="Times New Roman"/>
          <w:lang w:val="sq-AL"/>
        </w:rPr>
      </w:pPr>
      <w:r w:rsidRPr="00CB554C">
        <w:rPr>
          <w:rFonts w:ascii="Times New Roman" w:hAnsi="Times New Roman"/>
        </w:rPr>
        <w:tab/>
      </w:r>
      <w:r w:rsidRPr="00CB554C">
        <w:rPr>
          <w:rFonts w:ascii="Times New Roman" w:hAnsi="Times New Roman"/>
          <w:lang w:val="sr-Cyrl-CS"/>
        </w:rPr>
        <w:t xml:space="preserve">njësia hapsinore numër: 12, 13, 18, 19, 20, 21, 25, 33 dhe 44 (e cila përfshinë rrugët: një pjesë të rr. Josif Janjiq, Stevan Singjeliq, Hajduk Velkos, pjesë të rr. </w:t>
      </w:r>
      <w:r w:rsidRPr="00CB554C">
        <w:rPr>
          <w:rFonts w:ascii="Times New Roman" w:hAnsi="Times New Roman"/>
          <w:lang w:val="sq-AL"/>
        </w:rPr>
        <w:t xml:space="preserve">V. </w:t>
      </w:r>
      <w:r w:rsidRPr="00CB554C">
        <w:rPr>
          <w:rFonts w:ascii="Times New Roman" w:hAnsi="Times New Roman"/>
          <w:lang w:val="sr-Cyrl-CS"/>
        </w:rPr>
        <w:t xml:space="preserve">Stepe Stepanoviq, ana e djathtë e rr.Morava, </w:t>
      </w:r>
      <w:r w:rsidRPr="00CB554C">
        <w:rPr>
          <w:rFonts w:ascii="Times New Roman" w:hAnsi="Times New Roman"/>
          <w:lang w:val="sq-AL"/>
        </w:rPr>
        <w:t>Shëngjergjit, Shaban Bajramoviq, Migjeni,</w:t>
      </w:r>
      <w:r w:rsidRPr="00CB554C">
        <w:rPr>
          <w:rFonts w:ascii="Times New Roman" w:hAnsi="Times New Roman"/>
          <w:lang w:val="sr-Cyrl-CS"/>
        </w:rPr>
        <w:t xml:space="preserve"> Dragaçevës, </w:t>
      </w:r>
      <w:r w:rsidRPr="00CB554C">
        <w:rPr>
          <w:rFonts w:ascii="Times New Roman" w:hAnsi="Times New Roman"/>
          <w:lang w:val="sq-AL"/>
        </w:rPr>
        <w:t xml:space="preserve">Sait Baliq, Zulfiqar Bajramoviq, Gjakovës, </w:t>
      </w:r>
      <w:r w:rsidRPr="00CB554C">
        <w:rPr>
          <w:rFonts w:ascii="Times New Roman" w:hAnsi="Times New Roman"/>
          <w:lang w:val="sr-Cyrl-CS"/>
        </w:rPr>
        <w:t xml:space="preserve">Jug Bogdanit, </w:t>
      </w:r>
      <w:r w:rsidRPr="00CB554C">
        <w:rPr>
          <w:rFonts w:ascii="Times New Roman" w:hAnsi="Times New Roman"/>
          <w:lang w:val="sq-AL"/>
        </w:rPr>
        <w:t>Prizrenit</w:t>
      </w:r>
      <w:r w:rsidRPr="00CB554C">
        <w:rPr>
          <w:rFonts w:ascii="Times New Roman" w:hAnsi="Times New Roman"/>
          <w:lang w:val="sr-Cyrl-CS"/>
        </w:rPr>
        <w:t xml:space="preserve">, një pjesë e rr. Së Gjilanit, </w:t>
      </w:r>
      <w:r w:rsidRPr="00CB554C">
        <w:rPr>
          <w:rFonts w:ascii="Times New Roman" w:hAnsi="Times New Roman"/>
          <w:lang w:val="sq-AL"/>
        </w:rPr>
        <w:t xml:space="preserve">një pjesë e </w:t>
      </w:r>
      <w:r w:rsidRPr="00CB554C">
        <w:rPr>
          <w:rFonts w:ascii="Times New Roman" w:hAnsi="Times New Roman"/>
          <w:lang w:val="sr-Cyrl-CS"/>
        </w:rPr>
        <w:t xml:space="preserve">rruga </w:t>
      </w:r>
      <w:r w:rsidRPr="00CB554C">
        <w:rPr>
          <w:rFonts w:ascii="Times New Roman" w:hAnsi="Times New Roman"/>
          <w:lang w:val="sq-AL"/>
        </w:rPr>
        <w:t>së</w:t>
      </w:r>
      <w:r w:rsidRPr="00CB554C">
        <w:rPr>
          <w:rFonts w:ascii="Times New Roman" w:hAnsi="Times New Roman"/>
          <w:lang w:val="sr-Cyrl-CS"/>
        </w:rPr>
        <w:t xml:space="preserve"> L</w:t>
      </w:r>
      <w:r w:rsidRPr="00CB554C">
        <w:rPr>
          <w:rFonts w:ascii="Times New Roman" w:hAnsi="Times New Roman"/>
          <w:lang w:val="sq-AL"/>
        </w:rPr>
        <w:t>l</w:t>
      </w:r>
      <w:r w:rsidRPr="00CB554C">
        <w:rPr>
          <w:rFonts w:ascii="Times New Roman" w:hAnsi="Times New Roman"/>
          <w:lang w:val="sr-Cyrl-CS"/>
        </w:rPr>
        <w:t xml:space="preserve">opardincës, një pjesë e rr. </w:t>
      </w:r>
      <w:r w:rsidRPr="00CB554C">
        <w:rPr>
          <w:rFonts w:ascii="Times New Roman" w:hAnsi="Times New Roman"/>
          <w:lang w:val="sq-AL"/>
        </w:rPr>
        <w:t>Ilaz Selimi</w:t>
      </w:r>
      <w:r w:rsidRPr="00CB554C">
        <w:rPr>
          <w:rFonts w:ascii="Times New Roman" w:hAnsi="Times New Roman"/>
          <w:lang w:val="sr-Cyrl-CS"/>
        </w:rPr>
        <w:t xml:space="preserve">, një pjesë e rr. </w:t>
      </w:r>
      <w:r w:rsidRPr="00CB554C">
        <w:rPr>
          <w:rFonts w:ascii="Times New Roman" w:hAnsi="Times New Roman"/>
          <w:lang w:val="sq-AL"/>
        </w:rPr>
        <w:t>Bekim Fehmiu</w:t>
      </w:r>
      <w:r w:rsidRPr="00CB554C">
        <w:rPr>
          <w:rFonts w:ascii="Times New Roman" w:hAnsi="Times New Roman"/>
          <w:lang w:val="sr-Cyrl-CS"/>
        </w:rPr>
        <w:t xml:space="preserve">, </w:t>
      </w:r>
      <w:r w:rsidRPr="00CB554C">
        <w:rPr>
          <w:rFonts w:ascii="Times New Roman" w:hAnsi="Times New Roman"/>
          <w:lang w:val="sq-AL"/>
        </w:rPr>
        <w:t>një pjesë e rr. Kosovës, Naim Frashëri</w:t>
      </w:r>
      <w:r w:rsidRPr="00CB554C">
        <w:rPr>
          <w:rFonts w:ascii="Times New Roman" w:hAnsi="Times New Roman"/>
          <w:lang w:val="sr-Cyrl-CS"/>
        </w:rPr>
        <w:t xml:space="preserve">, një pjesë e rr. </w:t>
      </w:r>
      <w:r w:rsidRPr="00CB554C">
        <w:rPr>
          <w:rFonts w:ascii="Times New Roman" w:hAnsi="Times New Roman"/>
          <w:lang w:val="sq-AL"/>
        </w:rPr>
        <w:t>Nëna Terezë</w:t>
      </w:r>
      <w:r w:rsidRPr="00CB554C">
        <w:rPr>
          <w:rFonts w:ascii="Times New Roman" w:hAnsi="Times New Roman"/>
          <w:lang w:val="sr-Cyrl-CS"/>
        </w:rPr>
        <w:t xml:space="preserve">, ana e majtë e rr. </w:t>
      </w:r>
      <w:r w:rsidRPr="00CB554C">
        <w:rPr>
          <w:rFonts w:ascii="Times New Roman" w:hAnsi="Times New Roman"/>
          <w:lang w:val="sq-AL"/>
        </w:rPr>
        <w:t>Asdreni</w:t>
      </w:r>
      <w:r w:rsidRPr="00CB554C">
        <w:rPr>
          <w:rFonts w:ascii="Times New Roman" w:hAnsi="Times New Roman"/>
          <w:lang w:val="sr-Cyrl-CS"/>
        </w:rPr>
        <w:t xml:space="preserve"> dhe ana e djathtë e rr. </w:t>
      </w:r>
      <w:r w:rsidRPr="00CB554C">
        <w:rPr>
          <w:rFonts w:ascii="Times New Roman" w:hAnsi="Times New Roman"/>
          <w:lang w:val="sq-AL"/>
        </w:rPr>
        <w:t>Sami Frashëri</w:t>
      </w:r>
      <w:r w:rsidRPr="00CB554C">
        <w:rPr>
          <w:rFonts w:ascii="Times New Roman" w:hAnsi="Times New Roman"/>
          <w:lang w:val="sr-Cyrl-CS"/>
        </w:rPr>
        <w:t>, rruga Morava 76, dhe një pjesë e rrugës Jaqima Gjoshiq</w:t>
      </w:r>
      <w:r w:rsidRPr="00CB554C">
        <w:rPr>
          <w:rFonts w:ascii="Times New Roman" w:hAnsi="Times New Roman"/>
          <w:lang w:val="sq-AL"/>
        </w:rPr>
        <w:t>).</w:t>
      </w:r>
    </w:p>
    <w:p w:rsidR="0049202B" w:rsidRPr="00CB554C" w:rsidRDefault="0049202B" w:rsidP="00A57695">
      <w:pPr>
        <w:pStyle w:val="BodyText"/>
        <w:rPr>
          <w:b/>
          <w:sz w:val="22"/>
          <w:szCs w:val="22"/>
          <w:highlight w:val="yellow"/>
          <w:u w:val="single"/>
        </w:rPr>
      </w:pPr>
    </w:p>
    <w:p w:rsidR="00A57695" w:rsidRDefault="00A57695" w:rsidP="00A57695">
      <w:pPr>
        <w:pStyle w:val="BodyText"/>
        <w:ind w:firstLine="720"/>
        <w:rPr>
          <w:b/>
          <w:bCs/>
          <w:sz w:val="22"/>
          <w:szCs w:val="22"/>
          <w:u w:val="single"/>
        </w:rPr>
      </w:pPr>
    </w:p>
    <w:p w:rsidR="0049202B" w:rsidRPr="00CB554C" w:rsidRDefault="0049202B" w:rsidP="00A57695">
      <w:pPr>
        <w:pStyle w:val="BodyText"/>
        <w:ind w:firstLine="720"/>
        <w:rPr>
          <w:b/>
          <w:bCs/>
          <w:sz w:val="22"/>
          <w:szCs w:val="22"/>
          <w:u w:val="single"/>
        </w:rPr>
      </w:pPr>
      <w:r w:rsidRPr="00CB554C">
        <w:rPr>
          <w:b/>
          <w:bCs/>
          <w:sz w:val="22"/>
          <w:szCs w:val="22"/>
          <w:u w:val="single"/>
        </w:rPr>
        <w:t>III</w:t>
      </w:r>
      <w:r w:rsidRPr="00CB554C">
        <w:rPr>
          <w:b/>
          <w:bCs/>
          <w:sz w:val="22"/>
          <w:szCs w:val="22"/>
          <w:u w:val="single"/>
          <w:lang w:val="it-IT"/>
        </w:rPr>
        <w:t xml:space="preserve"> ЗОН</w:t>
      </w:r>
      <w:r w:rsidRPr="00CB554C">
        <w:rPr>
          <w:b/>
          <w:bCs/>
          <w:sz w:val="22"/>
          <w:szCs w:val="22"/>
          <w:u w:val="single"/>
        </w:rPr>
        <w:t xml:space="preserve">А - </w:t>
      </w:r>
      <w:r w:rsidRPr="00CB554C">
        <w:rPr>
          <w:b/>
          <w:bCs/>
          <w:sz w:val="22"/>
          <w:szCs w:val="22"/>
          <w:u w:val="single"/>
          <w:lang w:val="it-IT"/>
        </w:rPr>
        <w:t>ZONA III:</w:t>
      </w:r>
    </w:p>
    <w:p w:rsidR="0049202B" w:rsidRPr="00CB554C" w:rsidRDefault="0049202B" w:rsidP="00A57695">
      <w:pPr>
        <w:pStyle w:val="BodyText"/>
        <w:rPr>
          <w:sz w:val="22"/>
          <w:szCs w:val="22"/>
        </w:rPr>
      </w:pPr>
      <w:r w:rsidRPr="00CB554C">
        <w:rPr>
          <w:sz w:val="22"/>
          <w:szCs w:val="22"/>
        </w:rPr>
        <w:tab/>
      </w:r>
    </w:p>
    <w:p w:rsidR="0049202B" w:rsidRPr="00CB554C" w:rsidRDefault="0049202B" w:rsidP="00A57695">
      <w:pPr>
        <w:spacing w:after="0" w:line="240" w:lineRule="auto"/>
        <w:ind w:firstLine="708"/>
        <w:jc w:val="both"/>
        <w:rPr>
          <w:rFonts w:ascii="Times New Roman" w:hAnsi="Times New Roman"/>
        </w:rPr>
      </w:pPr>
      <w:r w:rsidRPr="00CB554C">
        <w:rPr>
          <w:rFonts w:ascii="Times New Roman" w:hAnsi="Times New Roman"/>
        </w:rPr>
        <w:lastRenderedPageBreak/>
        <w:tab/>
        <w:t>О</w:t>
      </w:r>
      <w:r w:rsidRPr="00CB554C">
        <w:rPr>
          <w:rFonts w:ascii="Times New Roman" w:hAnsi="Times New Roman"/>
          <w:lang w:val="it-IT"/>
        </w:rPr>
        <w:t>бухвата</w:t>
      </w:r>
      <w:r w:rsidRPr="00CB554C">
        <w:rPr>
          <w:rFonts w:ascii="Times New Roman" w:hAnsi="Times New Roman"/>
          <w:lang w:val="sr-Cyrl-CS"/>
        </w:rPr>
        <w:t>п</w:t>
      </w:r>
      <w:r w:rsidRPr="00CB554C">
        <w:rPr>
          <w:rFonts w:ascii="Times New Roman" w:hAnsi="Times New Roman"/>
          <w:lang w:val="sq-AL"/>
        </w:rPr>
        <w:t xml:space="preserve">росторна јединица број: 26, 27, 28, 29, 30, 31, 32, 34, 35, 36, 37, 38, 39, 40, 41, 42, 43, 45, 46, 47, 48, 49 и 50 (коју обухвата улице Биначка, део ул. Гњилански пут, део ул. </w:t>
      </w:r>
      <w:proofErr w:type="gramStart"/>
      <w:r w:rsidRPr="00CB554C">
        <w:rPr>
          <w:rFonts w:ascii="Times New Roman" w:hAnsi="Times New Roman"/>
        </w:rPr>
        <w:t>Мајка Тереза</w:t>
      </w:r>
      <w:r w:rsidRPr="00CB554C">
        <w:rPr>
          <w:rFonts w:ascii="Times New Roman" w:hAnsi="Times New Roman"/>
          <w:lang w:val="sq-AL"/>
        </w:rPr>
        <w:t>, Врбанска, десна страна ул.</w:t>
      </w:r>
      <w:proofErr w:type="gramEnd"/>
      <w:r w:rsidRPr="00CB554C">
        <w:rPr>
          <w:rFonts w:ascii="Times New Roman" w:hAnsi="Times New Roman"/>
          <w:lang w:val="sq-AL"/>
        </w:rPr>
        <w:t xml:space="preserve"> </w:t>
      </w:r>
      <w:proofErr w:type="gramStart"/>
      <w:r w:rsidRPr="00CB554C">
        <w:rPr>
          <w:rFonts w:ascii="Times New Roman" w:hAnsi="Times New Roman"/>
        </w:rPr>
        <w:t>Асдрени</w:t>
      </w:r>
      <w:r w:rsidRPr="00CB554C">
        <w:rPr>
          <w:rFonts w:ascii="Times New Roman" w:hAnsi="Times New Roman"/>
          <w:lang w:val="sq-AL"/>
        </w:rPr>
        <w:t xml:space="preserve">, Рамиз Садику, </w:t>
      </w:r>
      <w:r w:rsidRPr="00CB554C">
        <w:rPr>
          <w:rFonts w:ascii="Times New Roman" w:hAnsi="Times New Roman"/>
        </w:rPr>
        <w:t>Љам Брезница</w:t>
      </w:r>
      <w:r w:rsidRPr="00CB554C">
        <w:rPr>
          <w:rFonts w:ascii="Times New Roman" w:hAnsi="Times New Roman"/>
          <w:lang w:val="sq-AL"/>
        </w:rPr>
        <w:t>, лева страна ул.</w:t>
      </w:r>
      <w:proofErr w:type="gramEnd"/>
      <w:r w:rsidRPr="00CB554C">
        <w:rPr>
          <w:rFonts w:ascii="Times New Roman" w:hAnsi="Times New Roman"/>
          <w:lang w:val="sq-AL"/>
        </w:rPr>
        <w:t xml:space="preserve"> </w:t>
      </w:r>
      <w:proofErr w:type="gramStart"/>
      <w:r w:rsidRPr="00CB554C">
        <w:rPr>
          <w:rFonts w:ascii="Times New Roman" w:hAnsi="Times New Roman"/>
        </w:rPr>
        <w:t>Сами Фрашери</w:t>
      </w:r>
      <w:r w:rsidRPr="00CB554C">
        <w:rPr>
          <w:rFonts w:ascii="Times New Roman" w:hAnsi="Times New Roman"/>
          <w:lang w:val="sq-AL"/>
        </w:rPr>
        <w:t>, део ул.</w:t>
      </w:r>
      <w:proofErr w:type="gramEnd"/>
      <w:r w:rsidRPr="00CB554C">
        <w:rPr>
          <w:rFonts w:ascii="Times New Roman" w:hAnsi="Times New Roman"/>
          <w:lang w:val="sq-AL"/>
        </w:rPr>
        <w:t xml:space="preserve"> </w:t>
      </w:r>
      <w:proofErr w:type="gramStart"/>
      <w:r w:rsidRPr="00CB554C">
        <w:rPr>
          <w:rFonts w:ascii="Times New Roman" w:hAnsi="Times New Roman"/>
        </w:rPr>
        <w:t>Косовска</w:t>
      </w:r>
      <w:r w:rsidRPr="00CB554C">
        <w:rPr>
          <w:rFonts w:ascii="Times New Roman" w:hAnsi="Times New Roman"/>
          <w:lang w:val="sq-AL"/>
        </w:rPr>
        <w:t xml:space="preserve">, Никола Тесла, Бањска, Змајева, Мирослава Нојковић - Цале, </w:t>
      </w:r>
      <w:r w:rsidRPr="00CB554C">
        <w:rPr>
          <w:rFonts w:ascii="Times New Roman" w:hAnsi="Times New Roman"/>
        </w:rPr>
        <w:t>8Април и део ул.</w:t>
      </w:r>
      <w:proofErr w:type="gramEnd"/>
      <w:r w:rsidRPr="00CB554C">
        <w:rPr>
          <w:rFonts w:ascii="Times New Roman" w:hAnsi="Times New Roman"/>
        </w:rPr>
        <w:t xml:space="preserve"> </w:t>
      </w:r>
      <w:proofErr w:type="gramStart"/>
      <w:r w:rsidRPr="00CB554C">
        <w:rPr>
          <w:rFonts w:ascii="Times New Roman" w:hAnsi="Times New Roman"/>
        </w:rPr>
        <w:t>Јаћима Ђошића)</w:t>
      </w:r>
      <w:r w:rsidRPr="00CB554C">
        <w:rPr>
          <w:rFonts w:ascii="Times New Roman" w:hAnsi="Times New Roman"/>
          <w:lang w:val="sq-AL"/>
        </w:rPr>
        <w:t>.</w:t>
      </w:r>
      <w:proofErr w:type="gramEnd"/>
      <w:r w:rsidRPr="00CB554C">
        <w:rPr>
          <w:rFonts w:ascii="Times New Roman" w:hAnsi="Times New Roman"/>
          <w:lang w:val="sq-AL"/>
        </w:rPr>
        <w:t xml:space="preserve"> </w:t>
      </w:r>
    </w:p>
    <w:p w:rsidR="0049202B" w:rsidRPr="00CB554C" w:rsidRDefault="0049202B" w:rsidP="00A57695">
      <w:pPr>
        <w:spacing w:after="0" w:line="240" w:lineRule="auto"/>
        <w:ind w:firstLine="708"/>
        <w:jc w:val="both"/>
        <w:rPr>
          <w:rFonts w:ascii="Times New Roman" w:hAnsi="Times New Roman"/>
          <w:lang w:val="sq-AL"/>
        </w:rPr>
      </w:pPr>
      <w:r w:rsidRPr="00CB554C">
        <w:rPr>
          <w:rFonts w:ascii="Times New Roman" w:hAnsi="Times New Roman"/>
        </w:rPr>
        <w:tab/>
      </w:r>
      <w:r w:rsidRPr="00CB554C">
        <w:rPr>
          <w:rFonts w:ascii="Times New Roman" w:hAnsi="Times New Roman"/>
          <w:color w:val="000000"/>
        </w:rPr>
        <w:t xml:space="preserve">Kësaj zone i takojnë fshatrat: </w:t>
      </w:r>
      <w:r w:rsidRPr="00CB554C">
        <w:rPr>
          <w:rFonts w:ascii="Times New Roman" w:hAnsi="Times New Roman"/>
          <w:lang w:val="sr-Cyrl-CS"/>
        </w:rPr>
        <w:t xml:space="preserve">26, 27, 28, 29, 30, 31, 32, 34, 35, 36, 37, 38, 39, 40, 41, 42, 43, 44, 45, 46, 47, 48, 49 dhe 50 (e cila përfshin rrugët: Binçës, një pjesë e </w:t>
      </w:r>
      <w:proofErr w:type="gramStart"/>
      <w:r w:rsidRPr="00CB554C">
        <w:rPr>
          <w:rFonts w:ascii="Times New Roman" w:hAnsi="Times New Roman"/>
          <w:lang w:val="sr-Cyrl-CS"/>
        </w:rPr>
        <w:t>rr</w:t>
      </w:r>
      <w:proofErr w:type="gramEnd"/>
      <w:r w:rsidRPr="00CB554C">
        <w:rPr>
          <w:rFonts w:ascii="Times New Roman" w:hAnsi="Times New Roman"/>
          <w:lang w:val="sr-Cyrl-CS"/>
        </w:rPr>
        <w:t xml:space="preserve">. Së Gjilanit, një pjesë e rr. </w:t>
      </w:r>
      <w:r w:rsidRPr="00CB554C">
        <w:rPr>
          <w:rFonts w:ascii="Times New Roman" w:hAnsi="Times New Roman"/>
          <w:lang w:val="sq-AL"/>
        </w:rPr>
        <w:t>Nëna Terezë</w:t>
      </w:r>
      <w:r w:rsidRPr="00CB554C">
        <w:rPr>
          <w:rFonts w:ascii="Times New Roman" w:hAnsi="Times New Roman"/>
          <w:lang w:val="sr-Cyrl-CS"/>
        </w:rPr>
        <w:t xml:space="preserve">, e </w:t>
      </w:r>
      <w:r w:rsidRPr="00CB554C">
        <w:rPr>
          <w:rFonts w:ascii="Times New Roman" w:hAnsi="Times New Roman"/>
          <w:lang w:val="sq-AL"/>
        </w:rPr>
        <w:t>Vërbanit</w:t>
      </w:r>
      <w:r w:rsidRPr="00CB554C">
        <w:rPr>
          <w:rFonts w:ascii="Times New Roman" w:hAnsi="Times New Roman"/>
          <w:lang w:val="sr-Cyrl-CS"/>
        </w:rPr>
        <w:t xml:space="preserve">, ana e djathtë e rr. </w:t>
      </w:r>
      <w:r w:rsidRPr="00CB554C">
        <w:rPr>
          <w:rFonts w:ascii="Times New Roman" w:hAnsi="Times New Roman"/>
          <w:lang w:val="sq-AL"/>
        </w:rPr>
        <w:t>Asdrenit</w:t>
      </w:r>
      <w:r w:rsidRPr="00CB554C">
        <w:rPr>
          <w:rFonts w:ascii="Times New Roman" w:hAnsi="Times New Roman"/>
          <w:lang w:val="sr-Cyrl-CS"/>
        </w:rPr>
        <w:t xml:space="preserve">, Ramiz Sadiku, </w:t>
      </w:r>
      <w:r w:rsidRPr="00CB554C">
        <w:rPr>
          <w:rFonts w:ascii="Times New Roman" w:hAnsi="Times New Roman"/>
          <w:lang w:val="sq-AL"/>
        </w:rPr>
        <w:t>Lam Breznica</w:t>
      </w:r>
      <w:r w:rsidRPr="00CB554C">
        <w:rPr>
          <w:rFonts w:ascii="Times New Roman" w:hAnsi="Times New Roman"/>
          <w:lang w:val="sr-Cyrl-CS"/>
        </w:rPr>
        <w:t xml:space="preserve">, ana e majtë e rr. </w:t>
      </w:r>
      <w:r w:rsidRPr="00CB554C">
        <w:rPr>
          <w:rFonts w:ascii="Times New Roman" w:hAnsi="Times New Roman"/>
          <w:lang w:val="sq-AL"/>
        </w:rPr>
        <w:t>Sami Frashëri</w:t>
      </w:r>
      <w:r w:rsidRPr="00CB554C">
        <w:rPr>
          <w:rFonts w:ascii="Times New Roman" w:hAnsi="Times New Roman"/>
          <w:lang w:val="sr-Cyrl-CS"/>
        </w:rPr>
        <w:t xml:space="preserve">, një pjesë e rr. Së Kosovës, Nikolla Teslla, e Banjës, e Zmajit, Mirosllav Nojkoviq –Cale, </w:t>
      </w:r>
      <w:r w:rsidRPr="00CB554C">
        <w:rPr>
          <w:rFonts w:ascii="Times New Roman" w:hAnsi="Times New Roman"/>
          <w:lang w:val="sq-AL"/>
        </w:rPr>
        <w:t>8 Prilli dhe një pjesë e rrugës Jaqima Gjoshiq).</w:t>
      </w:r>
    </w:p>
    <w:p w:rsidR="0049202B" w:rsidRPr="00CB554C" w:rsidRDefault="0049202B" w:rsidP="00A57695">
      <w:pPr>
        <w:spacing w:after="0" w:line="240" w:lineRule="auto"/>
        <w:jc w:val="both"/>
        <w:rPr>
          <w:rFonts w:ascii="Times New Roman" w:hAnsi="Times New Roman"/>
        </w:rPr>
      </w:pPr>
    </w:p>
    <w:p w:rsidR="0049202B" w:rsidRPr="00CB554C" w:rsidRDefault="0049202B" w:rsidP="00A57695">
      <w:pPr>
        <w:pStyle w:val="BodyText"/>
        <w:ind w:firstLine="720"/>
        <w:rPr>
          <w:b/>
          <w:bCs/>
          <w:sz w:val="22"/>
          <w:szCs w:val="22"/>
          <w:u w:val="single"/>
        </w:rPr>
      </w:pPr>
      <w:r w:rsidRPr="00CB554C">
        <w:rPr>
          <w:b/>
          <w:bCs/>
          <w:sz w:val="22"/>
          <w:szCs w:val="22"/>
          <w:u w:val="single"/>
        </w:rPr>
        <w:t>IV</w:t>
      </w:r>
      <w:r w:rsidRPr="00CB554C">
        <w:rPr>
          <w:b/>
          <w:bCs/>
          <w:sz w:val="22"/>
          <w:szCs w:val="22"/>
          <w:u w:val="single"/>
          <w:lang w:val="it-IT"/>
        </w:rPr>
        <w:t xml:space="preserve"> ЗОН</w:t>
      </w:r>
      <w:r w:rsidRPr="00CB554C">
        <w:rPr>
          <w:b/>
          <w:bCs/>
          <w:sz w:val="22"/>
          <w:szCs w:val="22"/>
          <w:u w:val="single"/>
        </w:rPr>
        <w:t xml:space="preserve">А - </w:t>
      </w:r>
      <w:r w:rsidRPr="00CB554C">
        <w:rPr>
          <w:b/>
          <w:bCs/>
          <w:sz w:val="22"/>
          <w:szCs w:val="22"/>
          <w:u w:val="single"/>
          <w:lang w:val="it-IT"/>
        </w:rPr>
        <w:t>ZONA IV:</w:t>
      </w:r>
    </w:p>
    <w:p w:rsidR="0049202B" w:rsidRPr="00CB554C" w:rsidRDefault="0049202B" w:rsidP="00A57695">
      <w:pPr>
        <w:spacing w:after="0" w:line="240" w:lineRule="auto"/>
        <w:jc w:val="both"/>
        <w:rPr>
          <w:rFonts w:ascii="Times New Roman" w:hAnsi="Times New Roman"/>
        </w:rPr>
      </w:pPr>
    </w:p>
    <w:p w:rsidR="0049202B" w:rsidRPr="00590DF7" w:rsidRDefault="0049202B" w:rsidP="00A57695">
      <w:pPr>
        <w:spacing w:after="0" w:line="240" w:lineRule="auto"/>
        <w:ind w:firstLine="708"/>
        <w:jc w:val="both"/>
        <w:rPr>
          <w:rFonts w:ascii="Times New Roman" w:hAnsi="Times New Roman"/>
          <w:lang w:val="sq-AL"/>
        </w:rPr>
      </w:pPr>
      <w:r w:rsidRPr="00CB554C">
        <w:rPr>
          <w:rFonts w:ascii="Times New Roman" w:hAnsi="Times New Roman"/>
          <w:lang w:val="sr-Cyrl-CS"/>
        </w:rPr>
        <w:t>обухвата</w:t>
      </w:r>
      <w:r w:rsidRPr="00CB554C">
        <w:rPr>
          <w:rFonts w:ascii="Times New Roman" w:hAnsi="Times New Roman"/>
          <w:lang w:val="sq-AL"/>
        </w:rPr>
        <w:t xml:space="preserve"> остала насељена места општине Бујановац – Жбевац, Лопардинце, Љиљанце, Левосоје, Турија, Лучане, Жужељица, Летовица, Несалце, Осларе, Карадник, С.Кућа, Кленике, Биљача, Велики Трновац, Раковац, Самољица, Кончуљ, Божињевац,</w:t>
      </w:r>
      <w:r>
        <w:rPr>
          <w:rFonts w:ascii="Times New Roman" w:hAnsi="Times New Roman"/>
          <w:lang w:val="sq-AL"/>
        </w:rPr>
        <w:t xml:space="preserve"> Кршевица, Клиновац и Св.Петка.</w:t>
      </w:r>
    </w:p>
    <w:p w:rsidR="0049202B" w:rsidRPr="00590DF7" w:rsidRDefault="0049202B" w:rsidP="00A57695">
      <w:pPr>
        <w:spacing w:after="0" w:line="240" w:lineRule="auto"/>
        <w:ind w:firstLine="708"/>
        <w:jc w:val="both"/>
        <w:rPr>
          <w:rFonts w:ascii="Times New Roman" w:hAnsi="Times New Roman"/>
          <w:lang w:val="sq-AL"/>
        </w:rPr>
      </w:pPr>
      <w:r w:rsidRPr="00CB554C">
        <w:rPr>
          <w:rFonts w:ascii="Times New Roman" w:hAnsi="Times New Roman"/>
          <w:lang w:val="sq-AL"/>
        </w:rPr>
        <w:t>përfshinë vendbanimet e tjera të Komunës së Bujanocit - Zhbevc, Llopardinc, Lilanc, Levosojë, Turi, Luçan, Zhuzhelic, Letovicë, Nssalcë, Osllarë, Karadnik, S.Kuqë, Klenik, Bilaç, Tërnoc, Rakoc, Samolic, Konçul, Bozhinjevc,</w:t>
      </w:r>
      <w:r>
        <w:rPr>
          <w:rFonts w:ascii="Times New Roman" w:hAnsi="Times New Roman"/>
          <w:lang w:val="sq-AL"/>
        </w:rPr>
        <w:t xml:space="preserve"> Kërshevic, Klinovc i Sv.Petka.</w:t>
      </w:r>
    </w:p>
    <w:p w:rsidR="00A57695" w:rsidRDefault="00A57695" w:rsidP="00A57695">
      <w:pPr>
        <w:spacing w:after="0" w:line="240" w:lineRule="auto"/>
        <w:jc w:val="both"/>
        <w:rPr>
          <w:rFonts w:ascii="Times New Roman" w:hAnsi="Times New Roman"/>
          <w:b/>
          <w:bCs/>
          <w:lang w:val="sq-AL"/>
        </w:rPr>
      </w:pPr>
    </w:p>
    <w:p w:rsidR="0049202B" w:rsidRPr="00CB554C" w:rsidRDefault="0049202B" w:rsidP="00A57695">
      <w:pPr>
        <w:spacing w:after="0" w:line="240" w:lineRule="auto"/>
        <w:ind w:left="708"/>
        <w:jc w:val="both"/>
        <w:rPr>
          <w:rFonts w:ascii="Times New Roman" w:hAnsi="Times New Roman"/>
          <w:b/>
          <w:bCs/>
        </w:rPr>
      </w:pPr>
      <w:r w:rsidRPr="00CB554C">
        <w:rPr>
          <w:rFonts w:ascii="Times New Roman" w:hAnsi="Times New Roman"/>
          <w:b/>
          <w:bCs/>
          <w:lang w:val="sq-AL"/>
        </w:rPr>
        <w:t xml:space="preserve">III. </w:t>
      </w:r>
      <w:r w:rsidRPr="00CB554C">
        <w:rPr>
          <w:rFonts w:ascii="Times New Roman" w:hAnsi="Times New Roman"/>
          <w:b/>
          <w:bCs/>
          <w:lang w:val="sr-Cyrl-CS"/>
        </w:rPr>
        <w:t>КАЗНЕНЕ ОДРЕДБЕ</w:t>
      </w:r>
    </w:p>
    <w:p w:rsidR="0049202B" w:rsidRPr="00590DF7" w:rsidRDefault="0049202B" w:rsidP="00A57695">
      <w:pPr>
        <w:spacing w:after="0" w:line="240" w:lineRule="auto"/>
        <w:ind w:left="708"/>
        <w:jc w:val="both"/>
        <w:rPr>
          <w:rFonts w:ascii="Times New Roman" w:hAnsi="Times New Roman"/>
          <w:b/>
          <w:bCs/>
          <w:lang w:val="sq-AL"/>
        </w:rPr>
      </w:pPr>
      <w:r w:rsidRPr="00CB554C">
        <w:rPr>
          <w:rFonts w:ascii="Times New Roman" w:hAnsi="Times New Roman"/>
          <w:b/>
          <w:bCs/>
        </w:rPr>
        <w:t xml:space="preserve">III. </w:t>
      </w:r>
      <w:r>
        <w:rPr>
          <w:rFonts w:ascii="Times New Roman" w:hAnsi="Times New Roman"/>
          <w:b/>
          <w:bCs/>
          <w:lang w:val="sr-Cyrl-CS"/>
        </w:rPr>
        <w:t>DISPOZITAT NDËSHKUESE</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1</w:t>
      </w:r>
      <w:r w:rsidRPr="00CB554C">
        <w:rPr>
          <w:rFonts w:ascii="Times New Roman" w:hAnsi="Times New Roman"/>
          <w:b/>
          <w:bCs/>
        </w:rPr>
        <w:t>4</w:t>
      </w:r>
      <w:r w:rsidRPr="00CB554C">
        <w:rPr>
          <w:rFonts w:ascii="Times New Roman" w:hAnsi="Times New Roman"/>
          <w:b/>
          <w:bCs/>
          <w:lang w:val="sr-Cyrl-CS"/>
        </w:rPr>
        <w:t>.</w:t>
      </w:r>
    </w:p>
    <w:p w:rsidR="0049202B" w:rsidRPr="00CB554C" w:rsidRDefault="0049202B" w:rsidP="00A57695">
      <w:pPr>
        <w:spacing w:after="0" w:line="240" w:lineRule="auto"/>
        <w:ind w:firstLine="720"/>
        <w:jc w:val="both"/>
        <w:rPr>
          <w:rFonts w:ascii="Times New Roman" w:hAnsi="Times New Roman"/>
          <w:bCs/>
        </w:rPr>
      </w:pPr>
      <w:r w:rsidRPr="00CB554C">
        <w:rPr>
          <w:rFonts w:ascii="Times New Roman" w:hAnsi="Times New Roman"/>
          <w:bCs/>
        </w:rPr>
        <w:t>Новчаном казном у износу од 50.000,00 до 500.000,00 динара казниће се за прекршај таксени обвезник – правно лице ако:</w:t>
      </w:r>
    </w:p>
    <w:p w:rsidR="0049202B" w:rsidRDefault="0049202B" w:rsidP="00A57695">
      <w:pPr>
        <w:spacing w:after="0" w:line="240" w:lineRule="auto"/>
        <w:ind w:firstLine="720"/>
        <w:jc w:val="both"/>
        <w:rPr>
          <w:rFonts w:ascii="Times New Roman" w:hAnsi="Times New Roman"/>
          <w:bCs/>
          <w:lang w:val="sq-AL"/>
        </w:rPr>
      </w:pPr>
      <w:r w:rsidRPr="00CB554C">
        <w:rPr>
          <w:rFonts w:ascii="Times New Roman" w:hAnsi="Times New Roman"/>
          <w:bCs/>
          <w:lang w:val="sr-Cyrl-CS"/>
        </w:rPr>
        <w:t xml:space="preserve">Me shumën në të holla prej </w:t>
      </w:r>
      <w:r w:rsidRPr="00CB554C">
        <w:rPr>
          <w:rFonts w:ascii="Times New Roman" w:hAnsi="Times New Roman"/>
          <w:bCs/>
          <w:lang w:val="sq-AL"/>
        </w:rPr>
        <w:t>50.0</w:t>
      </w:r>
      <w:r w:rsidRPr="00CB554C">
        <w:rPr>
          <w:rFonts w:ascii="Times New Roman" w:hAnsi="Times New Roman"/>
          <w:bCs/>
          <w:lang w:val="sr-Cyrl-CS"/>
        </w:rPr>
        <w:t xml:space="preserve">00,00 </w:t>
      </w:r>
      <w:r w:rsidRPr="00CB554C">
        <w:rPr>
          <w:rFonts w:ascii="Times New Roman" w:hAnsi="Times New Roman"/>
          <w:bCs/>
          <w:lang w:val="sq-AL"/>
        </w:rPr>
        <w:t>deri500</w:t>
      </w:r>
      <w:r w:rsidRPr="00CB554C">
        <w:rPr>
          <w:rFonts w:ascii="Times New Roman" w:hAnsi="Times New Roman"/>
          <w:bCs/>
          <w:lang w:val="sr-Cyrl-CS"/>
        </w:rPr>
        <w:t xml:space="preserve">.000,00 dinarë do të gjobitet obliguesi i taksës </w:t>
      </w:r>
      <w:r>
        <w:rPr>
          <w:rFonts w:ascii="Times New Roman" w:hAnsi="Times New Roman"/>
          <w:bCs/>
          <w:lang w:val="sq-AL"/>
        </w:rPr>
        <w:t>– personi juridik nëse:</w:t>
      </w:r>
    </w:p>
    <w:p w:rsidR="00A57695" w:rsidRPr="00CB554C" w:rsidRDefault="00A57695" w:rsidP="00A57695">
      <w:pPr>
        <w:spacing w:after="0" w:line="240" w:lineRule="auto"/>
        <w:ind w:firstLine="720"/>
        <w:jc w:val="both"/>
        <w:rPr>
          <w:rFonts w:ascii="Times New Roman" w:hAnsi="Times New Roman"/>
          <w:bCs/>
          <w:lang w:val="sq-AL"/>
        </w:rPr>
      </w:pPr>
    </w:p>
    <w:p w:rsidR="0049202B" w:rsidRPr="00CB554C" w:rsidRDefault="0049202B" w:rsidP="00A57695">
      <w:pPr>
        <w:pStyle w:val="ListParagraph"/>
        <w:numPr>
          <w:ilvl w:val="0"/>
          <w:numId w:val="2"/>
        </w:numPr>
        <w:contextualSpacing w:val="0"/>
        <w:jc w:val="both"/>
        <w:rPr>
          <w:bCs/>
          <w:sz w:val="22"/>
          <w:szCs w:val="22"/>
        </w:rPr>
      </w:pPr>
      <w:r w:rsidRPr="00CB554C">
        <w:rPr>
          <w:bCs/>
          <w:sz w:val="22"/>
          <w:szCs w:val="22"/>
        </w:rPr>
        <w:t>Општинској управи општине Бујановац – одељењу локалне пореске администрације не поднесе пријаву или не поднесе пријаву за утврђивање накнаде у прописаном року или у пријави наведе нетачне податке,</w:t>
      </w:r>
    </w:p>
    <w:p w:rsidR="0049202B" w:rsidRPr="00CB554C" w:rsidRDefault="0049202B" w:rsidP="00A57695">
      <w:pPr>
        <w:pStyle w:val="ListParagraph"/>
        <w:jc w:val="both"/>
        <w:rPr>
          <w:color w:val="222222"/>
          <w:sz w:val="22"/>
          <w:szCs w:val="22"/>
          <w:lang w:val="sq-AL"/>
        </w:rPr>
      </w:pPr>
      <w:r w:rsidRPr="00CB554C">
        <w:rPr>
          <w:sz w:val="22"/>
          <w:szCs w:val="22"/>
          <w:lang w:val="sr-Cyrl-CS"/>
        </w:rPr>
        <w:t>Administrat</w:t>
      </w:r>
      <w:r w:rsidRPr="00CB554C">
        <w:rPr>
          <w:sz w:val="22"/>
          <w:szCs w:val="22"/>
          <w:lang w:val="sq-AL"/>
        </w:rPr>
        <w:t>ës</w:t>
      </w:r>
      <w:r w:rsidRPr="00CB554C">
        <w:rPr>
          <w:sz w:val="22"/>
          <w:szCs w:val="22"/>
          <w:lang w:val="sr-Cyrl-CS"/>
        </w:rPr>
        <w:t xml:space="preserve"> komunale-Drejtorati</w:t>
      </w:r>
      <w:r w:rsidRPr="00CB554C">
        <w:rPr>
          <w:sz w:val="22"/>
          <w:szCs w:val="22"/>
          <w:lang w:val="sq-AL"/>
        </w:rPr>
        <w:t>tpër administratë tatimore lokale</w:t>
      </w:r>
      <w:r w:rsidRPr="00CB554C">
        <w:rPr>
          <w:bCs/>
          <w:sz w:val="22"/>
          <w:szCs w:val="22"/>
          <w:lang w:val="sr-Cyrl-CS"/>
        </w:rPr>
        <w:t xml:space="preserve"> nuk </w:t>
      </w:r>
      <w:r w:rsidRPr="00CB554C">
        <w:rPr>
          <w:color w:val="222222"/>
          <w:sz w:val="22"/>
          <w:szCs w:val="22"/>
          <w:lang w:val="sq-AL"/>
        </w:rPr>
        <w:t>paraqet kërkesën ose nuk paraqet një kërkesë për përcaktimin e tarifës brenda afatit të përcaktuar ose tregon të dhënat e pasakta në aplikacion.</w:t>
      </w:r>
    </w:p>
    <w:p w:rsidR="0049202B" w:rsidRPr="00CB554C" w:rsidRDefault="0049202B" w:rsidP="00A57695">
      <w:pPr>
        <w:pStyle w:val="ListParagraph"/>
        <w:jc w:val="both"/>
        <w:rPr>
          <w:bCs/>
          <w:sz w:val="22"/>
          <w:szCs w:val="22"/>
        </w:rPr>
      </w:pPr>
    </w:p>
    <w:p w:rsidR="0049202B" w:rsidRPr="00CB554C" w:rsidRDefault="0049202B" w:rsidP="00A57695">
      <w:pPr>
        <w:pStyle w:val="ListParagraph"/>
        <w:numPr>
          <w:ilvl w:val="0"/>
          <w:numId w:val="2"/>
        </w:numPr>
        <w:contextualSpacing w:val="0"/>
        <w:jc w:val="both"/>
        <w:rPr>
          <w:bCs/>
          <w:sz w:val="22"/>
          <w:szCs w:val="22"/>
        </w:rPr>
      </w:pPr>
      <w:r w:rsidRPr="00CB554C">
        <w:rPr>
          <w:bCs/>
          <w:sz w:val="22"/>
          <w:szCs w:val="22"/>
        </w:rPr>
        <w:t>Овлашћеном раднику Управе не омогући контролу података из пријаве на лицу места или утврђивање чињеница, података и околности од значаја за висину накнаде,</w:t>
      </w:r>
    </w:p>
    <w:p w:rsidR="0049202B" w:rsidRPr="00CB554C" w:rsidRDefault="0049202B" w:rsidP="00A57695">
      <w:pPr>
        <w:pStyle w:val="ListParagraph"/>
        <w:jc w:val="both"/>
        <w:rPr>
          <w:color w:val="222222"/>
          <w:sz w:val="22"/>
          <w:szCs w:val="22"/>
          <w:lang w:val="sq-AL"/>
        </w:rPr>
      </w:pPr>
      <w:r w:rsidRPr="00CB554C">
        <w:rPr>
          <w:color w:val="222222"/>
          <w:sz w:val="22"/>
          <w:szCs w:val="22"/>
          <w:lang w:val="sq-AL"/>
        </w:rPr>
        <w:t>Punëtorit të autorizuar të Administratës nuk mundëson kontrollin e të dhënave nga aplikimi në vend ose përcaktimin e fakteve, të dhënave dhe rrethanave me rëndësi për shumën e kompensimit,</w:t>
      </w:r>
    </w:p>
    <w:p w:rsidR="0049202B" w:rsidRPr="00CB554C" w:rsidRDefault="0049202B" w:rsidP="00A57695">
      <w:pPr>
        <w:pStyle w:val="ListParagraph"/>
        <w:jc w:val="both"/>
        <w:rPr>
          <w:bCs/>
          <w:sz w:val="22"/>
          <w:szCs w:val="22"/>
        </w:rPr>
      </w:pPr>
    </w:p>
    <w:p w:rsidR="0049202B" w:rsidRPr="00CB554C" w:rsidRDefault="0049202B" w:rsidP="00A57695">
      <w:pPr>
        <w:pStyle w:val="ListParagraph"/>
        <w:numPr>
          <w:ilvl w:val="0"/>
          <w:numId w:val="2"/>
        </w:numPr>
        <w:contextualSpacing w:val="0"/>
        <w:jc w:val="both"/>
        <w:rPr>
          <w:bCs/>
          <w:sz w:val="22"/>
          <w:szCs w:val="22"/>
        </w:rPr>
      </w:pPr>
      <w:r w:rsidRPr="00CB554C">
        <w:rPr>
          <w:bCs/>
          <w:sz w:val="22"/>
          <w:szCs w:val="22"/>
        </w:rPr>
        <w:t>За прекршај из става 1. овог члана казниће се и одговорно лице у правном лицу новчаном казном у висини од 2.500,00 до 75.000,00 динара,</w:t>
      </w:r>
    </w:p>
    <w:p w:rsidR="0049202B" w:rsidRPr="00CB554C" w:rsidRDefault="0049202B" w:rsidP="00A57695">
      <w:pPr>
        <w:pStyle w:val="ListParagraph"/>
        <w:jc w:val="both"/>
        <w:rPr>
          <w:color w:val="222222"/>
          <w:sz w:val="22"/>
          <w:szCs w:val="22"/>
          <w:lang w:val="sq-AL"/>
        </w:rPr>
      </w:pPr>
      <w:r w:rsidRPr="00CB554C">
        <w:rPr>
          <w:color w:val="222222"/>
          <w:sz w:val="22"/>
          <w:szCs w:val="22"/>
          <w:lang w:val="sq-AL"/>
        </w:rPr>
        <w:t>Për kundërvajtjen nga paragrafi 1. i këtij neni dënohet edhe personi përgjegjës në kuptimin juridik në shumë prej 2.500,00 deri në 75.000,00 dinarë,</w:t>
      </w:r>
    </w:p>
    <w:p w:rsidR="0049202B" w:rsidRPr="00CB554C" w:rsidRDefault="0049202B" w:rsidP="00A57695">
      <w:pPr>
        <w:pStyle w:val="ListParagraph"/>
        <w:jc w:val="both"/>
        <w:rPr>
          <w:bCs/>
          <w:sz w:val="22"/>
          <w:szCs w:val="22"/>
        </w:rPr>
      </w:pPr>
    </w:p>
    <w:p w:rsidR="0049202B" w:rsidRPr="00CB554C" w:rsidRDefault="0049202B" w:rsidP="00A57695">
      <w:pPr>
        <w:pStyle w:val="ListParagraph"/>
        <w:numPr>
          <w:ilvl w:val="0"/>
          <w:numId w:val="2"/>
        </w:numPr>
        <w:contextualSpacing w:val="0"/>
        <w:jc w:val="both"/>
        <w:rPr>
          <w:bCs/>
          <w:sz w:val="22"/>
          <w:szCs w:val="22"/>
        </w:rPr>
      </w:pPr>
      <w:r w:rsidRPr="00CB554C">
        <w:rPr>
          <w:bCs/>
          <w:sz w:val="22"/>
          <w:szCs w:val="22"/>
        </w:rPr>
        <w:t>Новчаном казном у висини од 5.000,00 до 250.000,00 динара казниће се таксени обвезник – предузетник ако учини прекршаје из става 1. овог члана,</w:t>
      </w:r>
    </w:p>
    <w:p w:rsidR="0049202B" w:rsidRPr="00CB554C" w:rsidRDefault="0049202B" w:rsidP="00A57695">
      <w:pPr>
        <w:pStyle w:val="ListParagraph"/>
        <w:jc w:val="both"/>
        <w:rPr>
          <w:color w:val="222222"/>
          <w:sz w:val="22"/>
          <w:szCs w:val="22"/>
          <w:lang w:val="sq-AL"/>
        </w:rPr>
      </w:pPr>
      <w:r w:rsidRPr="00CB554C">
        <w:rPr>
          <w:color w:val="222222"/>
          <w:sz w:val="22"/>
          <w:szCs w:val="22"/>
          <w:lang w:val="sq-AL"/>
        </w:rPr>
        <w:t>Taksapaguesi - sipërmarrësi dënohet me gjobë prej 5.000,00 deri në 250.000,00 dinarë nëse kryen veprën penale nga paragrafi 1. i këtij neni,</w:t>
      </w:r>
    </w:p>
    <w:p w:rsidR="0049202B" w:rsidRPr="00CB554C" w:rsidRDefault="0049202B" w:rsidP="00A57695">
      <w:pPr>
        <w:pStyle w:val="ListParagraph"/>
        <w:jc w:val="both"/>
        <w:rPr>
          <w:bCs/>
          <w:sz w:val="22"/>
          <w:szCs w:val="22"/>
        </w:rPr>
      </w:pPr>
    </w:p>
    <w:p w:rsidR="0049202B" w:rsidRPr="00CB554C" w:rsidRDefault="0049202B" w:rsidP="00A57695">
      <w:pPr>
        <w:pStyle w:val="ListParagraph"/>
        <w:numPr>
          <w:ilvl w:val="0"/>
          <w:numId w:val="2"/>
        </w:numPr>
        <w:contextualSpacing w:val="0"/>
        <w:jc w:val="both"/>
        <w:rPr>
          <w:bCs/>
          <w:sz w:val="22"/>
          <w:szCs w:val="22"/>
        </w:rPr>
      </w:pPr>
      <w:r w:rsidRPr="00CB554C">
        <w:rPr>
          <w:bCs/>
          <w:sz w:val="22"/>
          <w:szCs w:val="22"/>
        </w:rPr>
        <w:t xml:space="preserve">Новчаном казном у висини од 2.500,00 до 75.000,00 динара казниће се физичко лице ако учини прекршаје из става 1. </w:t>
      </w:r>
      <w:proofErr w:type="gramStart"/>
      <w:r w:rsidRPr="00CB554C">
        <w:rPr>
          <w:bCs/>
          <w:sz w:val="22"/>
          <w:szCs w:val="22"/>
        </w:rPr>
        <w:t>овог</w:t>
      </w:r>
      <w:proofErr w:type="gramEnd"/>
      <w:r w:rsidRPr="00CB554C">
        <w:rPr>
          <w:bCs/>
          <w:sz w:val="22"/>
          <w:szCs w:val="22"/>
        </w:rPr>
        <w:t xml:space="preserve"> члана.</w:t>
      </w:r>
    </w:p>
    <w:p w:rsidR="0049202B" w:rsidRPr="00CB554C" w:rsidRDefault="0049202B" w:rsidP="00A57695">
      <w:pPr>
        <w:pStyle w:val="ListParagraph"/>
        <w:jc w:val="both"/>
        <w:rPr>
          <w:bCs/>
          <w:sz w:val="22"/>
          <w:szCs w:val="22"/>
        </w:rPr>
      </w:pPr>
      <w:r w:rsidRPr="00CB554C">
        <w:rPr>
          <w:color w:val="222222"/>
          <w:sz w:val="22"/>
          <w:szCs w:val="22"/>
          <w:lang w:val="sq-AL"/>
        </w:rPr>
        <w:t>Një gjobë prej 2.500,00 deri në 75.000,00 dinarë do t'i shqiptohet personit fizik nëse kryen veprën penale nga paragrafi 1 i këtij neni</w:t>
      </w:r>
    </w:p>
    <w:p w:rsidR="0049202B" w:rsidRPr="00CB554C" w:rsidRDefault="0049202B" w:rsidP="00A57695">
      <w:pPr>
        <w:spacing w:after="0" w:line="240" w:lineRule="auto"/>
        <w:jc w:val="both"/>
        <w:rPr>
          <w:rFonts w:ascii="Times New Roman" w:hAnsi="Times New Roman"/>
        </w:rPr>
      </w:pPr>
    </w:p>
    <w:p w:rsidR="0049202B" w:rsidRPr="00CB554C" w:rsidRDefault="0049202B" w:rsidP="00A57695">
      <w:pPr>
        <w:spacing w:after="0" w:line="240" w:lineRule="auto"/>
        <w:ind w:left="720"/>
        <w:jc w:val="both"/>
        <w:rPr>
          <w:rFonts w:ascii="Times New Roman" w:hAnsi="Times New Roman"/>
          <w:b/>
          <w:bCs/>
          <w:lang w:val="sr-Cyrl-CS"/>
        </w:rPr>
      </w:pPr>
      <w:r w:rsidRPr="00CB554C">
        <w:rPr>
          <w:rFonts w:ascii="Times New Roman" w:hAnsi="Times New Roman"/>
          <w:b/>
          <w:bCs/>
          <w:lang w:val="sr-Latn-CS"/>
        </w:rPr>
        <w:lastRenderedPageBreak/>
        <w:t>III.</w:t>
      </w:r>
      <w:r w:rsidRPr="00CB554C">
        <w:rPr>
          <w:rFonts w:ascii="Times New Roman" w:hAnsi="Times New Roman"/>
          <w:b/>
          <w:bCs/>
          <w:lang w:val="sr-Cyrl-CS"/>
        </w:rPr>
        <w:t xml:space="preserve"> ПРЕЛАЗНЕ И ЗАВРШНЕ ОДРЕДБЕ </w:t>
      </w:r>
    </w:p>
    <w:p w:rsidR="0049202B" w:rsidRDefault="0049202B" w:rsidP="00A57695">
      <w:pPr>
        <w:spacing w:after="0" w:line="240" w:lineRule="auto"/>
        <w:ind w:left="720"/>
        <w:jc w:val="both"/>
        <w:rPr>
          <w:rFonts w:ascii="Times New Roman" w:hAnsi="Times New Roman"/>
          <w:b/>
          <w:bCs/>
          <w:lang w:val="sq-AL"/>
        </w:rPr>
      </w:pPr>
      <w:r w:rsidRPr="00CB554C">
        <w:rPr>
          <w:rFonts w:ascii="Times New Roman" w:hAnsi="Times New Roman"/>
          <w:b/>
          <w:bCs/>
        </w:rPr>
        <w:t xml:space="preserve">III. </w:t>
      </w:r>
      <w:r w:rsidRPr="00CB554C">
        <w:rPr>
          <w:rFonts w:ascii="Times New Roman" w:hAnsi="Times New Roman"/>
          <w:b/>
          <w:bCs/>
          <w:lang w:val="sr-Cyrl-CS"/>
        </w:rPr>
        <w:t>DISPOZI</w:t>
      </w:r>
      <w:r>
        <w:rPr>
          <w:rFonts w:ascii="Times New Roman" w:hAnsi="Times New Roman"/>
          <w:b/>
          <w:bCs/>
          <w:lang w:val="sr-Cyrl-CS"/>
        </w:rPr>
        <w:t>TAT KALIMTARE DHE PËRFUNDIMTARE</w:t>
      </w:r>
    </w:p>
    <w:p w:rsidR="00A57695" w:rsidRPr="00A57695" w:rsidRDefault="00A57695" w:rsidP="00A57695">
      <w:pPr>
        <w:spacing w:after="0" w:line="240" w:lineRule="auto"/>
        <w:ind w:left="720"/>
        <w:jc w:val="both"/>
        <w:rPr>
          <w:rFonts w:ascii="Times New Roman" w:hAnsi="Times New Roman"/>
          <w:b/>
          <w:bCs/>
          <w:lang w:val="sq-AL"/>
        </w:rPr>
      </w:pP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Члан - Neni 1</w:t>
      </w:r>
      <w:r w:rsidRPr="00CB554C">
        <w:rPr>
          <w:rFonts w:ascii="Times New Roman" w:hAnsi="Times New Roman"/>
          <w:b/>
          <w:bCs/>
        </w:rPr>
        <w:t>5</w:t>
      </w:r>
      <w:r w:rsidRPr="00CB554C">
        <w:rPr>
          <w:rFonts w:ascii="Times New Roman" w:hAnsi="Times New Roman"/>
          <w:b/>
          <w:bCs/>
          <w:lang w:val="sr-Cyrl-CS"/>
        </w:rPr>
        <w:t>.</w:t>
      </w:r>
    </w:p>
    <w:p w:rsidR="0049202B" w:rsidRPr="00CB554C" w:rsidRDefault="0049202B" w:rsidP="00A57695">
      <w:pPr>
        <w:spacing w:after="0" w:line="240" w:lineRule="auto"/>
        <w:ind w:firstLine="720"/>
        <w:jc w:val="both"/>
        <w:rPr>
          <w:rFonts w:ascii="Times New Roman" w:hAnsi="Times New Roman"/>
          <w:bCs/>
          <w:lang w:val="sr-Cyrl-CS"/>
        </w:rPr>
      </w:pPr>
      <w:r w:rsidRPr="00CB554C">
        <w:rPr>
          <w:rFonts w:ascii="Times New Roman" w:hAnsi="Times New Roman"/>
          <w:bCs/>
          <w:lang w:val="sr-Cyrl-CS"/>
        </w:rPr>
        <w:t>Надзор над применом одредаба ове одлуке врши Општинска управа-Одељење локалне пореске администрације.</w:t>
      </w:r>
    </w:p>
    <w:p w:rsidR="0049202B" w:rsidRPr="00590DF7" w:rsidRDefault="0049202B" w:rsidP="00A57695">
      <w:pPr>
        <w:spacing w:after="0" w:line="240" w:lineRule="auto"/>
        <w:ind w:firstLine="720"/>
        <w:jc w:val="both"/>
        <w:rPr>
          <w:rFonts w:ascii="Times New Roman" w:hAnsi="Times New Roman"/>
          <w:bCs/>
          <w:lang w:val="sq-AL"/>
        </w:rPr>
      </w:pPr>
      <w:r w:rsidRPr="00CB554C">
        <w:rPr>
          <w:rFonts w:ascii="Times New Roman" w:hAnsi="Times New Roman"/>
          <w:bCs/>
          <w:lang w:val="sr-Cyrl-CS"/>
        </w:rPr>
        <w:t xml:space="preserve">Mbikqyrjen ndaj zbatimit të dispozitave të këtij vendimi e kryen Administrata komunale – Drejtorati </w:t>
      </w:r>
      <w:r w:rsidRPr="00CB554C">
        <w:rPr>
          <w:rFonts w:ascii="Times New Roman" w:hAnsi="Times New Roman"/>
          <w:bCs/>
          <w:lang w:val="sq-AL"/>
        </w:rPr>
        <w:t>për administratë tatimore lokale</w:t>
      </w:r>
      <w:r>
        <w:rPr>
          <w:rFonts w:ascii="Times New Roman" w:hAnsi="Times New Roman"/>
          <w:bCs/>
          <w:lang w:val="sr-Cyrl-CS"/>
        </w:rPr>
        <w:t>.</w:t>
      </w:r>
    </w:p>
    <w:p w:rsidR="0049202B" w:rsidRPr="00CB554C" w:rsidRDefault="0049202B" w:rsidP="00A57695">
      <w:pPr>
        <w:spacing w:after="0" w:line="240" w:lineRule="auto"/>
        <w:ind w:firstLine="720"/>
        <w:jc w:val="both"/>
        <w:rPr>
          <w:rFonts w:ascii="Times New Roman" w:hAnsi="Times New Roman"/>
          <w:bCs/>
          <w:lang w:val="sr-Cyrl-CS"/>
        </w:rPr>
      </w:pPr>
      <w:r w:rsidRPr="00CB554C">
        <w:rPr>
          <w:rFonts w:ascii="Times New Roman" w:hAnsi="Times New Roman"/>
          <w:bCs/>
          <w:lang w:val="sr-Cyrl-CS"/>
        </w:rPr>
        <w:t>Послове инспекцијског надзора над применом одредаба ове одлуке врши Општинска управа – Одељење за инспекцијске послове.</w:t>
      </w:r>
    </w:p>
    <w:p w:rsidR="0049202B" w:rsidRPr="00590DF7" w:rsidRDefault="0049202B" w:rsidP="00A57695">
      <w:pPr>
        <w:spacing w:after="0" w:line="240" w:lineRule="auto"/>
        <w:ind w:firstLine="720"/>
        <w:jc w:val="both"/>
        <w:rPr>
          <w:rFonts w:ascii="Times New Roman" w:hAnsi="Times New Roman"/>
          <w:bCs/>
          <w:lang w:val="sq-AL"/>
        </w:rPr>
      </w:pPr>
      <w:r w:rsidRPr="00CB554C">
        <w:rPr>
          <w:rFonts w:ascii="Times New Roman" w:hAnsi="Times New Roman"/>
          <w:bCs/>
          <w:lang w:val="sr-Cyrl-CS"/>
        </w:rPr>
        <w:t>Punët e mbikqyrjes inspektive mbi zbatimin e dispozitave të këtij vendimi e kryen Administrata komunale – Drejt</w:t>
      </w:r>
      <w:r>
        <w:rPr>
          <w:rFonts w:ascii="Times New Roman" w:hAnsi="Times New Roman"/>
          <w:bCs/>
          <w:lang w:val="sr-Cyrl-CS"/>
        </w:rPr>
        <w:t>orati për punë të inspeksionit.</w:t>
      </w:r>
    </w:p>
    <w:p w:rsidR="00A57695" w:rsidRDefault="00A57695" w:rsidP="00A57695">
      <w:pPr>
        <w:pStyle w:val="BodyText"/>
        <w:jc w:val="center"/>
        <w:rPr>
          <w:b/>
          <w:bCs/>
          <w:sz w:val="22"/>
          <w:szCs w:val="22"/>
          <w:lang w:val="sq-AL"/>
        </w:rPr>
      </w:pPr>
    </w:p>
    <w:p w:rsidR="0049202B" w:rsidRPr="00590DF7" w:rsidRDefault="0049202B" w:rsidP="00A57695">
      <w:pPr>
        <w:pStyle w:val="BodyText"/>
        <w:jc w:val="center"/>
        <w:rPr>
          <w:b/>
          <w:bCs/>
          <w:sz w:val="22"/>
          <w:szCs w:val="22"/>
          <w:lang w:val="sq-AL"/>
        </w:rPr>
      </w:pPr>
      <w:r w:rsidRPr="00CB554C">
        <w:rPr>
          <w:b/>
          <w:bCs/>
          <w:sz w:val="22"/>
          <w:szCs w:val="22"/>
          <w:lang w:val="sr-Cyrl-CS"/>
        </w:rPr>
        <w:t>Члан - Neni 1</w:t>
      </w:r>
      <w:r w:rsidRPr="00CB554C">
        <w:rPr>
          <w:b/>
          <w:bCs/>
          <w:sz w:val="22"/>
          <w:szCs w:val="22"/>
        </w:rPr>
        <w:t>6</w:t>
      </w:r>
      <w:r w:rsidRPr="00CB554C">
        <w:rPr>
          <w:b/>
          <w:bCs/>
          <w:sz w:val="22"/>
          <w:szCs w:val="22"/>
          <w:lang w:val="sr-Cyrl-CS"/>
        </w:rPr>
        <w:t>.</w:t>
      </w:r>
    </w:p>
    <w:p w:rsidR="0049202B" w:rsidRPr="00CB554C" w:rsidRDefault="0049202B" w:rsidP="00A57695">
      <w:pPr>
        <w:pStyle w:val="BodyText"/>
        <w:ind w:firstLine="720"/>
        <w:rPr>
          <w:sz w:val="22"/>
          <w:szCs w:val="22"/>
          <w:lang w:val="sq-AL"/>
        </w:rPr>
      </w:pPr>
      <w:r w:rsidRPr="00CB554C">
        <w:rPr>
          <w:sz w:val="22"/>
          <w:szCs w:val="22"/>
          <w:lang w:val="sr-Cyrl-CS"/>
        </w:rPr>
        <w:t>Ова Одлука ступа на снагу осмог дана од дана објављивања у “Службеном гласнику општине Бујановац”, а примењиваће се од 01.01.202</w:t>
      </w:r>
      <w:r w:rsidR="00FE3CBF">
        <w:rPr>
          <w:sz w:val="22"/>
          <w:szCs w:val="22"/>
        </w:rPr>
        <w:t>5</w:t>
      </w:r>
      <w:r w:rsidRPr="00CB554C">
        <w:rPr>
          <w:sz w:val="22"/>
          <w:szCs w:val="22"/>
          <w:lang w:val="sr-Cyrl-CS"/>
        </w:rPr>
        <w:t>.године.</w:t>
      </w:r>
    </w:p>
    <w:p w:rsidR="0049202B" w:rsidRPr="00CB554C" w:rsidRDefault="0049202B" w:rsidP="00A57695">
      <w:pPr>
        <w:pStyle w:val="BodyText"/>
        <w:ind w:firstLine="720"/>
        <w:rPr>
          <w:sz w:val="22"/>
          <w:szCs w:val="22"/>
          <w:lang w:val="sr-Cyrl-CS"/>
        </w:rPr>
      </w:pPr>
      <w:r w:rsidRPr="00CB554C">
        <w:rPr>
          <w:sz w:val="22"/>
          <w:szCs w:val="22"/>
          <w:lang w:val="sr-Cyrl-CS"/>
        </w:rPr>
        <w:t>Ky Vendim hynë në fuqi në ditën e tetë nga dita e publikimit në “</w:t>
      </w:r>
      <w:r w:rsidRPr="00CB554C">
        <w:rPr>
          <w:sz w:val="22"/>
          <w:szCs w:val="22"/>
          <w:lang w:val="sq-AL"/>
        </w:rPr>
        <w:t>Gazetën</w:t>
      </w:r>
      <w:r w:rsidRPr="00CB554C">
        <w:rPr>
          <w:sz w:val="22"/>
          <w:szCs w:val="22"/>
          <w:lang w:val="sr-Cyrl-CS"/>
        </w:rPr>
        <w:t xml:space="preserve"> zyrtare të komunës së Bujanocit”, ndërsa zbatimi i tij do të fillojë nga data 01.01.202</w:t>
      </w:r>
      <w:r w:rsidR="00FE3CBF">
        <w:rPr>
          <w:sz w:val="22"/>
          <w:szCs w:val="22"/>
        </w:rPr>
        <w:t>5</w:t>
      </w:r>
      <w:r w:rsidRPr="00CB554C">
        <w:rPr>
          <w:sz w:val="22"/>
          <w:szCs w:val="22"/>
          <w:lang w:val="sr-Cyrl-CS"/>
        </w:rPr>
        <w:t>.</w:t>
      </w:r>
    </w:p>
    <w:p w:rsidR="0049202B" w:rsidRPr="00CB554C" w:rsidRDefault="0049202B" w:rsidP="00A57695">
      <w:pPr>
        <w:spacing w:after="0" w:line="240" w:lineRule="auto"/>
        <w:jc w:val="both"/>
        <w:rPr>
          <w:rFonts w:ascii="Times New Roman" w:hAnsi="Times New Roman"/>
          <w:lang w:val="sr-Cyrl-CS"/>
        </w:rPr>
      </w:pPr>
    </w:p>
    <w:p w:rsidR="0049202B" w:rsidRPr="00A57695" w:rsidRDefault="0049202B" w:rsidP="00A57695">
      <w:pPr>
        <w:pStyle w:val="Heading2"/>
        <w:spacing w:before="0" w:after="0"/>
        <w:jc w:val="center"/>
        <w:rPr>
          <w:rFonts w:ascii="Times New Roman" w:hAnsi="Times New Roman"/>
          <w:i w:val="0"/>
          <w:sz w:val="22"/>
          <w:szCs w:val="22"/>
          <w:lang w:val="sr-Cyrl-CS"/>
        </w:rPr>
      </w:pPr>
      <w:r w:rsidRPr="00A57695">
        <w:rPr>
          <w:rFonts w:ascii="Times New Roman" w:hAnsi="Times New Roman"/>
          <w:i w:val="0"/>
          <w:sz w:val="22"/>
          <w:szCs w:val="22"/>
          <w:lang w:val="sr-Cyrl-CS"/>
        </w:rPr>
        <w:t>СКУПШТИНА ОПШТИНЕ БУЈАНОВАЦ</w:t>
      </w:r>
    </w:p>
    <w:p w:rsidR="0049202B" w:rsidRPr="00A57695" w:rsidRDefault="0049202B" w:rsidP="00A57695">
      <w:pPr>
        <w:pStyle w:val="Heading2"/>
        <w:spacing w:before="0" w:after="0"/>
        <w:jc w:val="center"/>
        <w:rPr>
          <w:rFonts w:ascii="Times New Roman" w:hAnsi="Times New Roman"/>
          <w:i w:val="0"/>
          <w:sz w:val="22"/>
          <w:szCs w:val="22"/>
          <w:lang w:val="sr-Cyrl-CS"/>
        </w:rPr>
      </w:pPr>
      <w:r w:rsidRPr="00A57695">
        <w:rPr>
          <w:rFonts w:ascii="Times New Roman" w:hAnsi="Times New Roman"/>
          <w:i w:val="0"/>
          <w:sz w:val="22"/>
          <w:szCs w:val="22"/>
          <w:lang w:val="sr-Cyrl-CS"/>
        </w:rPr>
        <w:t>KUVENDI I KOMUNËS SË BUJANOCIT</w:t>
      </w:r>
    </w:p>
    <w:p w:rsidR="0049202B" w:rsidRPr="00CB554C" w:rsidRDefault="0049202B" w:rsidP="00A57695">
      <w:pPr>
        <w:spacing w:after="0" w:line="240" w:lineRule="auto"/>
        <w:jc w:val="both"/>
        <w:rPr>
          <w:rFonts w:ascii="Times New Roman" w:hAnsi="Times New Roman"/>
          <w:b/>
          <w:bCs/>
          <w:lang w:val="sr-Cyrl-CS"/>
        </w:rPr>
      </w:pPr>
    </w:p>
    <w:p w:rsidR="0049202B" w:rsidRPr="00646398" w:rsidRDefault="0049202B" w:rsidP="00A57695">
      <w:pPr>
        <w:spacing w:after="0" w:line="240" w:lineRule="auto"/>
        <w:jc w:val="both"/>
        <w:rPr>
          <w:rFonts w:ascii="Times New Roman" w:hAnsi="Times New Roman"/>
          <w:b/>
          <w:bCs/>
        </w:rPr>
      </w:pPr>
      <w:r w:rsidRPr="00CB554C">
        <w:rPr>
          <w:rFonts w:ascii="Times New Roman" w:hAnsi="Times New Roman"/>
          <w:b/>
          <w:bCs/>
          <w:lang w:val="sr-Cyrl-CS"/>
        </w:rPr>
        <w:t xml:space="preserve">Бр </w:t>
      </w:r>
      <w:r w:rsidR="00646398">
        <w:rPr>
          <w:rFonts w:ascii="Times New Roman" w:hAnsi="Times New Roman"/>
          <w:b/>
          <w:bCs/>
          <w:lang w:val="sr-Cyrl-CS"/>
        </w:rPr>
        <w:t>–</w:t>
      </w:r>
      <w:r w:rsidRPr="00CB554C">
        <w:rPr>
          <w:rFonts w:ascii="Times New Roman" w:hAnsi="Times New Roman"/>
          <w:b/>
          <w:bCs/>
          <w:lang w:val="sr-Cyrl-CS"/>
        </w:rPr>
        <w:t xml:space="preserve"> Nr</w:t>
      </w:r>
      <w:r w:rsidR="00646398">
        <w:rPr>
          <w:rFonts w:ascii="Times New Roman" w:hAnsi="Times New Roman"/>
          <w:b/>
          <w:bCs/>
          <w:lang w:val="sr-Cyrl-CS"/>
        </w:rPr>
        <w:t xml:space="preserve">: </w:t>
      </w:r>
      <w:r w:rsidR="00CF7640">
        <w:rPr>
          <w:rFonts w:ascii="Times New Roman" w:hAnsi="Times New Roman"/>
          <w:b/>
          <w:bCs/>
          <w:lang w:val="sr-Cyrl-CS"/>
        </w:rPr>
        <w:t>02-283/2024</w:t>
      </w:r>
    </w:p>
    <w:p w:rsidR="0049202B" w:rsidRPr="00590DF7" w:rsidRDefault="0049202B" w:rsidP="00A57695">
      <w:pPr>
        <w:spacing w:after="0" w:line="240" w:lineRule="auto"/>
        <w:jc w:val="both"/>
        <w:rPr>
          <w:rFonts w:ascii="Times New Roman" w:hAnsi="Times New Roman"/>
          <w:b/>
          <w:bCs/>
          <w:lang w:val="sq-AL"/>
        </w:rPr>
      </w:pPr>
    </w:p>
    <w:p w:rsidR="0049202B" w:rsidRPr="00CB554C" w:rsidRDefault="0049202B" w:rsidP="00A57695">
      <w:pPr>
        <w:spacing w:after="0" w:line="240" w:lineRule="auto"/>
        <w:jc w:val="right"/>
        <w:rPr>
          <w:rFonts w:ascii="Times New Roman" w:hAnsi="Times New Roman"/>
          <w:b/>
          <w:lang w:val="sq-AL"/>
        </w:rPr>
      </w:pPr>
      <w:r w:rsidRPr="00CB554C">
        <w:rPr>
          <w:rFonts w:ascii="Times New Roman" w:hAnsi="Times New Roman"/>
          <w:b/>
        </w:rPr>
        <w:t xml:space="preserve">ПРЕДСЕДНИК </w:t>
      </w:r>
      <w:r w:rsidR="00A57695">
        <w:rPr>
          <w:rFonts w:ascii="Times New Roman" w:hAnsi="Times New Roman"/>
          <w:b/>
        </w:rPr>
        <w:t xml:space="preserve">- </w:t>
      </w:r>
      <w:r w:rsidRPr="00CB554C">
        <w:rPr>
          <w:rFonts w:ascii="Times New Roman" w:hAnsi="Times New Roman"/>
          <w:b/>
          <w:lang w:val="sq-AL"/>
        </w:rPr>
        <w:t>KRYETAR,</w:t>
      </w:r>
    </w:p>
    <w:p w:rsidR="0049202B" w:rsidRPr="003D1977" w:rsidRDefault="00FE3CBF" w:rsidP="00A57695">
      <w:pPr>
        <w:spacing w:after="0" w:line="240" w:lineRule="auto"/>
        <w:jc w:val="right"/>
        <w:rPr>
          <w:rFonts w:ascii="Times New Roman" w:hAnsi="Times New Roman"/>
          <w:lang w:val="sq-AL"/>
        </w:rPr>
      </w:pPr>
      <w:r>
        <w:rPr>
          <w:rFonts w:ascii="Times New Roman" w:hAnsi="Times New Roman"/>
          <w:b/>
        </w:rPr>
        <w:t>Дритон Реџепи</w:t>
      </w:r>
      <w:r w:rsidR="0049202B">
        <w:rPr>
          <w:rFonts w:ascii="Times New Roman" w:hAnsi="Times New Roman"/>
          <w:b/>
          <w:lang w:val="sq-AL"/>
        </w:rPr>
        <w:t xml:space="preserve"> </w:t>
      </w:r>
    </w:p>
    <w:p w:rsidR="0049202B" w:rsidRPr="00CB554C" w:rsidRDefault="0049202B" w:rsidP="00A57695">
      <w:pPr>
        <w:spacing w:after="0" w:line="240" w:lineRule="auto"/>
        <w:jc w:val="center"/>
        <w:rPr>
          <w:rFonts w:ascii="Times New Roman" w:hAnsi="Times New Roman"/>
          <w:b/>
          <w:bCs/>
        </w:rPr>
        <w:sectPr w:rsidR="0049202B" w:rsidRPr="00CB554C" w:rsidSect="0049202B">
          <w:type w:val="continuous"/>
          <w:pgSz w:w="11909" w:h="16834" w:code="9"/>
          <w:pgMar w:top="1440" w:right="1440" w:bottom="900" w:left="1440" w:header="720" w:footer="0" w:gutter="0"/>
          <w:cols w:space="720"/>
          <w:docGrid w:linePitch="360"/>
        </w:sectPr>
      </w:pPr>
    </w:p>
    <w:p w:rsidR="0049202B" w:rsidRDefault="0049202B" w:rsidP="00A57695">
      <w:pPr>
        <w:spacing w:after="0" w:line="240" w:lineRule="auto"/>
        <w:rPr>
          <w:rFonts w:ascii="Times New Roman" w:hAnsi="Times New Roman"/>
          <w:b/>
          <w:bCs/>
          <w:lang w:val="sq-AL"/>
        </w:rPr>
        <w:sectPr w:rsidR="0049202B" w:rsidSect="00AD24B7">
          <w:pgSz w:w="12240" w:h="15840"/>
          <w:pgMar w:top="1440" w:right="1440" w:bottom="1440" w:left="1440" w:header="720" w:footer="720" w:gutter="0"/>
          <w:cols w:space="720"/>
          <w:docGrid w:linePitch="360"/>
        </w:sectPr>
      </w:pPr>
    </w:p>
    <w:p w:rsidR="0049202B" w:rsidRPr="00CB554C" w:rsidRDefault="0049202B" w:rsidP="00A57695">
      <w:pPr>
        <w:spacing w:after="0" w:line="240" w:lineRule="auto"/>
        <w:rPr>
          <w:rFonts w:ascii="Times New Roman" w:hAnsi="Times New Roman"/>
          <w:b/>
          <w:bCs/>
          <w:lang w:val="sq-AL"/>
        </w:rPr>
      </w:pPr>
    </w:p>
    <w:p w:rsidR="0049202B" w:rsidRPr="00CB554C" w:rsidRDefault="0049202B" w:rsidP="00A57695">
      <w:pPr>
        <w:spacing w:after="0" w:line="240" w:lineRule="auto"/>
        <w:jc w:val="center"/>
        <w:rPr>
          <w:rFonts w:ascii="Times New Roman" w:hAnsi="Times New Roman"/>
          <w:b/>
          <w:bCs/>
          <w:lang w:val="sq-AL"/>
        </w:rPr>
      </w:pPr>
      <w:r w:rsidRPr="00CB554C">
        <w:rPr>
          <w:rFonts w:ascii="Times New Roman" w:hAnsi="Times New Roman"/>
          <w:b/>
          <w:lang w:val="sr-Cyrl-CS"/>
        </w:rPr>
        <w:t>ТАКСЕНА ТАРИФА – NUMRI TARIFOR</w:t>
      </w:r>
    </w:p>
    <w:p w:rsidR="0049202B" w:rsidRPr="00CB554C" w:rsidRDefault="0049202B" w:rsidP="00A57695">
      <w:pPr>
        <w:pStyle w:val="Title"/>
        <w:rPr>
          <w:rFonts w:ascii="Times New Roman" w:hAnsi="Times New Roman"/>
          <w:sz w:val="22"/>
          <w:szCs w:val="22"/>
          <w:lang w:val="sr-Cyrl-CS"/>
        </w:rPr>
      </w:pPr>
    </w:p>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b/>
          <w:bCs/>
          <w:lang w:val="sr-Cyrl-CS"/>
        </w:rPr>
        <w:t>Тарифни број – Numri tarifor  1.</w:t>
      </w:r>
    </w:p>
    <w:p w:rsidR="0049202B" w:rsidRPr="00CB554C" w:rsidRDefault="0049202B" w:rsidP="00A57695">
      <w:pPr>
        <w:pStyle w:val="BodyText"/>
        <w:ind w:firstLine="720"/>
        <w:jc w:val="both"/>
        <w:rPr>
          <w:sz w:val="22"/>
          <w:szCs w:val="22"/>
          <w:lang w:val="sr-Cyrl-CS"/>
        </w:rPr>
      </w:pPr>
      <w:r w:rsidRPr="00CB554C">
        <w:rPr>
          <w:sz w:val="22"/>
          <w:szCs w:val="22"/>
          <w:lang w:val="sr-Cyrl-CS"/>
        </w:rPr>
        <w:t>За истицање фирме на пословним просторијама плаћа се такса у годишњем износу и то:</w:t>
      </w:r>
    </w:p>
    <w:p w:rsidR="0049202B" w:rsidRPr="00CB554C" w:rsidRDefault="0049202B" w:rsidP="00A57695">
      <w:pPr>
        <w:pStyle w:val="BodyText"/>
        <w:ind w:firstLine="720"/>
        <w:jc w:val="both"/>
        <w:rPr>
          <w:sz w:val="22"/>
          <w:szCs w:val="22"/>
          <w:lang w:val="sr-Cyrl-CS"/>
        </w:rPr>
      </w:pPr>
      <w:r w:rsidRPr="00CB554C">
        <w:rPr>
          <w:sz w:val="22"/>
          <w:szCs w:val="22"/>
          <w:lang w:val="sr-Cyrl-CS"/>
        </w:rPr>
        <w:t>Për publikimin e firmës në lokalet afariste paguhet taksa në shumën vjetore:</w:t>
      </w:r>
    </w:p>
    <w:p w:rsidR="0049202B" w:rsidRPr="00CB554C" w:rsidRDefault="0049202B" w:rsidP="00A57695">
      <w:pPr>
        <w:pStyle w:val="BodyText"/>
        <w:jc w:val="both"/>
        <w:rPr>
          <w:sz w:val="22"/>
          <w:szCs w:val="22"/>
          <w:lang w:val="sr-Cyrl-CS"/>
        </w:rPr>
      </w:pPr>
    </w:p>
    <w:p w:rsidR="0049202B" w:rsidRDefault="0049202B" w:rsidP="00A57695">
      <w:pPr>
        <w:pStyle w:val="BodyText"/>
        <w:ind w:firstLine="720"/>
        <w:jc w:val="both"/>
        <w:rPr>
          <w:sz w:val="22"/>
          <w:szCs w:val="22"/>
          <w:lang w:val="sq-AL"/>
        </w:rPr>
      </w:pPr>
      <w:r w:rsidRPr="00CB554C">
        <w:rPr>
          <w:sz w:val="22"/>
          <w:szCs w:val="22"/>
          <w:lang w:val="sr-Cyrl-CS"/>
        </w:rPr>
        <w:t>Предузетници и правна лица која су према закону којим се уређује рачуноводство разврстана у мала правна лица (осим предузетника и правних лица која обављају делатност: банкарства; осигурање имовине и лица; производње и трговине нафтом и нафтним дерифатима; производње и трговине на велико дуванским производима;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а имају годишњи приход до 50.000.000,00 динара, не плаћају локалну комуналну таксу за истицање фирме на пословном простору (у даљем тексту: фирмарина).</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Ndërmarrësit dhe personat juridik të cilët sipas ligjit me të cilin rregullohet kontabiliteti klasifikohen në persona juridik të vegjël (përveç ndërmarrësve dhe personave juridik të cilët kryejnë veprimtaritë: bankare; sigurimi i pasurisë dhe i personave; prodhimin dhe tregëtinë me naftë dhe me derivatet e naftës; prodhimin dhe tregëtinë me shumicë të produkteve të duhanit; shërbimeve postare, mobile dhe telefonike; elektroekonomisë; kasinove, bixhozit, bastoreve, sallave të bingos dhe të ofrimit të shërbimeve të bixhozit dhe të bareve të natës dhe diskotekave), ndërsa kanë të hyra vjetore deri më 50.000.000,00 dinarë, nuk paguajnë taksën lokale komunale për vendosjen e firmës në hapsirën afariste (në vijim të tekstit: firmaria).</w:t>
      </w:r>
    </w:p>
    <w:p w:rsidR="0049202B" w:rsidRPr="00CB554C" w:rsidRDefault="0049202B" w:rsidP="00A57695">
      <w:pPr>
        <w:pStyle w:val="BodyText"/>
        <w:rPr>
          <w:sz w:val="22"/>
          <w:szCs w:val="22"/>
          <w:lang w:val="sr-Cyrl-CS"/>
        </w:rPr>
      </w:pPr>
    </w:p>
    <w:p w:rsidR="0049202B" w:rsidRDefault="0049202B" w:rsidP="00A57695">
      <w:pPr>
        <w:pStyle w:val="BodyText"/>
        <w:ind w:firstLine="720"/>
        <w:jc w:val="both"/>
        <w:rPr>
          <w:sz w:val="22"/>
          <w:szCs w:val="22"/>
          <w:lang w:val="sq-AL"/>
        </w:rPr>
      </w:pPr>
      <w:r w:rsidRPr="00CB554C">
        <w:rPr>
          <w:sz w:val="22"/>
          <w:szCs w:val="22"/>
          <w:lang w:val="sr-Cyrl-CS"/>
        </w:rPr>
        <w:t>Правна лица која су према закону којим се уређује рачуноводство разврстана у средња правна лица, као и предузетници и мала правна лица која имају годишњи приход преко 50.000.000,00 динара (осим предузетника и правних лица која обављају делатност: банкарства; осигурање имовине и лица; производње и трговине нафтом и нафтним дерифатима; производње и трговине на велико дуванским производима;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у висини од две просечне зараде.</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Personat juridik të cilët sipas ligjit me të cilin rregullohet kontabiliteti klasifikohen në persona juridik të mesëm, si dhe ndërmarrësit dhe personat juridik të vegjël të cilët kanë të hyra vjetore mbi 50.000.000.00 dinarë (përveç ndërmarrësve dhe personave juridik të cilët kryejnë veprimtaritë: bankare; sigurimi i pasurisë dhe i personave; prodhimin dhe tregëtinë me naftë dhe me derivatet e naftës; prodhimin dhe tregëtinë me shumicë të produkteve të duhanit; shërbimeve postare, mobile dhe telefonike; elektroekonomisë; kasinove, bixhozit, bastoreve, sallave të bingos dhe të ofrimit të shërbimeve të bixhozit dhe të bareve të natës dhe diskotekave), e paguajnë firmarinën në nivel vjetor në lartësi të dy pagave mesatare.</w:t>
      </w:r>
    </w:p>
    <w:p w:rsidR="0049202B" w:rsidRPr="00CB554C" w:rsidRDefault="0049202B" w:rsidP="00A57695">
      <w:pPr>
        <w:pStyle w:val="BodyText"/>
        <w:jc w:val="both"/>
        <w:rPr>
          <w:sz w:val="22"/>
          <w:szCs w:val="22"/>
          <w:lang w:val="sr-Cyrl-CS"/>
        </w:rPr>
      </w:pPr>
    </w:p>
    <w:p w:rsidR="0049202B" w:rsidRDefault="0049202B" w:rsidP="00A57695">
      <w:pPr>
        <w:pStyle w:val="BodyText"/>
        <w:ind w:firstLine="720"/>
        <w:jc w:val="both"/>
        <w:rPr>
          <w:sz w:val="22"/>
          <w:szCs w:val="22"/>
          <w:lang w:val="sq-AL"/>
        </w:rPr>
      </w:pPr>
      <w:r w:rsidRPr="00CB554C">
        <w:rPr>
          <w:sz w:val="22"/>
          <w:szCs w:val="22"/>
          <w:lang w:val="sr-Cyrl-CS"/>
        </w:rPr>
        <w:t>Правна лица која су према закону којим се уређује рачуноводство разврстана у велика правна лица, (осим предузетника и правних лица која обављају делатност: банкарства; осигурање имовине и лица; производње и трговине нафтом и нафтним дерифатима; производње и трговине на велико дуванским производима;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у висини три просечне зараде.</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Personat juridik të cilët sipas ligjit me të cilin rregullohet kontabiliteti klasifikohen në persona juridik të mëdhenjë (përveç ndërmarrësve dhe personave juridik të cilët kryejnë veprimtaritë: bankare; sigurimi i pasurisë dhe i personave; prodhimin dhe tregëtinë me naftë dhe me derivatet e naftës; prodhimin dhe tregëtinë me shumicë të produkteve të duhanit; shërbimeve postare, mobile dhe telefonike; elektroekonomisë; kasinove, bixhozit, bastoreve, sallave të bingos dhe të ofrimit të shërbimeve të bixhozit dhe të bareve të natës dhe diskotekave), e paguajnë firmarinën në nivel vjetor në lartësi të tri pagave mesatare.</w:t>
      </w:r>
    </w:p>
    <w:p w:rsidR="0049202B" w:rsidRPr="00CB554C" w:rsidRDefault="0049202B" w:rsidP="00A57695">
      <w:pPr>
        <w:pStyle w:val="BodyText"/>
        <w:ind w:firstLine="720"/>
        <w:rPr>
          <w:sz w:val="22"/>
          <w:szCs w:val="22"/>
          <w:lang w:val="sq-AL"/>
        </w:rPr>
      </w:pPr>
    </w:p>
    <w:p w:rsidR="0049202B" w:rsidRDefault="0049202B" w:rsidP="00A57695">
      <w:pPr>
        <w:pStyle w:val="BodyText"/>
        <w:ind w:firstLine="720"/>
        <w:jc w:val="both"/>
        <w:rPr>
          <w:sz w:val="22"/>
          <w:szCs w:val="22"/>
          <w:lang w:val="sq-AL"/>
        </w:rPr>
      </w:pPr>
      <w:r w:rsidRPr="00CB554C">
        <w:rPr>
          <w:sz w:val="22"/>
          <w:szCs w:val="22"/>
          <w:lang w:val="sr-Cyrl-CS"/>
        </w:rPr>
        <w:t>Правна лица која су према закону којим се уређује рачуноводство разврстана у велика, средња и мала правна лица, у смислу закона којим се уређује рачуноводство и предузетници, плаћају фирмарину на годишњем нивоу и то:</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q-AL"/>
        </w:rPr>
      </w:pPr>
      <w:r w:rsidRPr="00CB554C">
        <w:rPr>
          <w:sz w:val="22"/>
          <w:szCs w:val="22"/>
          <w:lang w:val="sr-Cyrl-CS"/>
        </w:rPr>
        <w:t>Personat juridik të cilët sipas ligjit me të cilin rregullohet kontabiliteti të klasifikuara në persona juridik të mëdhenjë, të mesëm dhe të vegjël, në kuptim të ligjit me të cilin rregullohet kontabiliteti dhe ndërmarrësit, e peguajnë firmarinën në nivel vjetor edhe atë:</w:t>
      </w:r>
    </w:p>
    <w:p w:rsidR="0049202B" w:rsidRPr="00CB554C" w:rsidRDefault="0049202B" w:rsidP="00A57695">
      <w:pPr>
        <w:pStyle w:val="BodyText"/>
        <w:ind w:firstLine="720"/>
        <w:jc w:val="both"/>
        <w:rPr>
          <w:sz w:val="22"/>
          <w:szCs w:val="22"/>
          <w:lang w:val="sq-AL"/>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делатност банкарства - десет просечних зарада,</w:t>
      </w:r>
    </w:p>
    <w:p w:rsidR="0049202B" w:rsidRPr="00CB554C" w:rsidRDefault="0049202B" w:rsidP="00A57695">
      <w:pPr>
        <w:pStyle w:val="BodyText"/>
        <w:ind w:left="720"/>
        <w:rPr>
          <w:sz w:val="22"/>
          <w:szCs w:val="22"/>
          <w:lang w:val="sq-AL"/>
        </w:rPr>
      </w:pPr>
      <w:r w:rsidRPr="00CB554C">
        <w:rPr>
          <w:sz w:val="22"/>
          <w:szCs w:val="22"/>
          <w:lang w:val="sr-Cyrl-CS"/>
        </w:rPr>
        <w:t>veprimtaria bankare – dhjetë paga mesatare;</w:t>
      </w:r>
    </w:p>
    <w:p w:rsidR="0049202B" w:rsidRPr="00CB554C" w:rsidRDefault="0049202B" w:rsidP="00A57695">
      <w:pPr>
        <w:pStyle w:val="BodyText"/>
        <w:rPr>
          <w:sz w:val="22"/>
          <w:szCs w:val="22"/>
          <w:lang w:val="sq-AL"/>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 xml:space="preserve">делатност поштанских, мобилних и телефонских услуга у зони </w:t>
      </w:r>
      <w:r w:rsidRPr="00CB554C">
        <w:rPr>
          <w:sz w:val="22"/>
          <w:szCs w:val="22"/>
          <w:lang w:val="sr-Latn-CS"/>
        </w:rPr>
        <w:t>I, II и III</w:t>
      </w:r>
      <w:r w:rsidRPr="00CB554C">
        <w:rPr>
          <w:sz w:val="22"/>
          <w:szCs w:val="22"/>
          <w:lang w:val="sr-Cyrl-CS"/>
        </w:rPr>
        <w:t xml:space="preserve"> – десет просечних зарада,</w:t>
      </w:r>
    </w:p>
    <w:p w:rsidR="0049202B" w:rsidRPr="00CB554C" w:rsidRDefault="0049202B" w:rsidP="00A57695">
      <w:pPr>
        <w:pStyle w:val="BodyText"/>
        <w:ind w:left="720"/>
        <w:rPr>
          <w:sz w:val="22"/>
          <w:szCs w:val="22"/>
          <w:lang w:val="sr-Cyrl-CS"/>
        </w:rPr>
      </w:pPr>
      <w:r w:rsidRPr="00CB554C">
        <w:rPr>
          <w:sz w:val="22"/>
          <w:szCs w:val="22"/>
          <w:lang w:val="sr-Cyrl-CS"/>
        </w:rPr>
        <w:t xml:space="preserve">veprimtaria e shërbimeve postare, mobile dhe telefonike </w:t>
      </w:r>
      <w:r w:rsidRPr="00CB554C">
        <w:rPr>
          <w:sz w:val="22"/>
          <w:szCs w:val="22"/>
          <w:lang w:val="sq-AL"/>
        </w:rPr>
        <w:t xml:space="preserve">në zonën I, II, dhe III </w:t>
      </w:r>
      <w:r w:rsidRPr="00CB554C">
        <w:rPr>
          <w:sz w:val="22"/>
          <w:szCs w:val="22"/>
          <w:lang w:val="sr-Cyrl-CS"/>
        </w:rPr>
        <w:t>– dhjetë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 xml:space="preserve">делатност поштанских услуга у </w:t>
      </w:r>
      <w:r w:rsidRPr="00CB554C">
        <w:rPr>
          <w:sz w:val="22"/>
          <w:szCs w:val="22"/>
          <w:lang w:val="sr-Latn-CS"/>
        </w:rPr>
        <w:t xml:space="preserve">IV </w:t>
      </w:r>
      <w:r w:rsidRPr="00CB554C">
        <w:rPr>
          <w:sz w:val="22"/>
          <w:szCs w:val="22"/>
          <w:lang w:val="sr-Cyrl-CS"/>
        </w:rPr>
        <w:t>зони – четири просечне зараде,</w:t>
      </w:r>
    </w:p>
    <w:p w:rsidR="0049202B" w:rsidRPr="00CB554C" w:rsidRDefault="0049202B" w:rsidP="00A57695">
      <w:pPr>
        <w:pStyle w:val="BodyText"/>
        <w:ind w:left="720"/>
        <w:rPr>
          <w:sz w:val="22"/>
          <w:szCs w:val="22"/>
          <w:lang w:val="sr-Cyrl-CS"/>
        </w:rPr>
      </w:pPr>
      <w:r w:rsidRPr="00CB554C">
        <w:rPr>
          <w:sz w:val="22"/>
          <w:szCs w:val="22"/>
          <w:lang w:val="sr-Cyrl-CS"/>
        </w:rPr>
        <w:t>veprimtaria e shërbimeve postare</w:t>
      </w:r>
      <w:r w:rsidRPr="00CB554C">
        <w:rPr>
          <w:sz w:val="22"/>
          <w:szCs w:val="22"/>
          <w:lang w:val="sq-AL"/>
        </w:rPr>
        <w:t xml:space="preserve"> në zonën e IV – katër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делатност електропривреде – десет просечних зарада.</w:t>
      </w:r>
    </w:p>
    <w:p w:rsidR="0049202B" w:rsidRPr="00CB554C" w:rsidRDefault="0049202B" w:rsidP="00A57695">
      <w:pPr>
        <w:pStyle w:val="BodyText"/>
        <w:ind w:left="720"/>
        <w:rPr>
          <w:sz w:val="22"/>
          <w:szCs w:val="22"/>
          <w:lang w:val="sr-Cyrl-CS"/>
        </w:rPr>
      </w:pPr>
      <w:r w:rsidRPr="00CB554C">
        <w:rPr>
          <w:sz w:val="22"/>
          <w:szCs w:val="22"/>
          <w:lang w:val="sr-Cyrl-CS"/>
        </w:rPr>
        <w:t>veprimtaria elektroekonomike – dhjetë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делатност казина, коцкарница, кладионица, бинго сала и пружања коцкарских услуга и ноћних барова и дискотека – десет просечних зарада,</w:t>
      </w:r>
    </w:p>
    <w:p w:rsidR="0049202B" w:rsidRPr="00CB554C" w:rsidRDefault="0049202B" w:rsidP="00A57695">
      <w:pPr>
        <w:pStyle w:val="BodyText"/>
        <w:ind w:left="720"/>
        <w:rPr>
          <w:sz w:val="22"/>
          <w:szCs w:val="22"/>
          <w:lang w:val="sr-Cyrl-CS"/>
        </w:rPr>
      </w:pPr>
      <w:r w:rsidRPr="00CB554C">
        <w:rPr>
          <w:sz w:val="22"/>
          <w:szCs w:val="22"/>
          <w:lang w:val="sr-Cyrl-CS"/>
        </w:rPr>
        <w:t xml:space="preserve">veprimtaria e kasinove, bixhozit, bastoreve, sallave të bingos dhe të ofrimit të shërbimeve të bixhozit dhe të bareve të natës dhe diskotekave – </w:t>
      </w:r>
      <w:r w:rsidRPr="00CB554C">
        <w:rPr>
          <w:sz w:val="22"/>
          <w:szCs w:val="22"/>
          <w:lang w:val="sq-AL"/>
        </w:rPr>
        <w:t xml:space="preserve">dhjetë </w:t>
      </w:r>
      <w:r w:rsidRPr="00CB554C">
        <w:rPr>
          <w:sz w:val="22"/>
          <w:szCs w:val="22"/>
          <w:lang w:val="sr-Cyrl-CS"/>
        </w:rPr>
        <w:t>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делатност производње и трговине нафтом и нафтним дерифатима – осам просечних зарада,</w:t>
      </w:r>
    </w:p>
    <w:p w:rsidR="0049202B" w:rsidRPr="00CB554C" w:rsidRDefault="0049202B" w:rsidP="00A57695">
      <w:pPr>
        <w:pStyle w:val="BodyText"/>
        <w:ind w:left="720"/>
        <w:rPr>
          <w:sz w:val="22"/>
          <w:szCs w:val="22"/>
          <w:lang w:val="sr-Cyrl-CS"/>
        </w:rPr>
      </w:pPr>
      <w:r w:rsidRPr="00CB554C">
        <w:rPr>
          <w:sz w:val="22"/>
          <w:szCs w:val="22"/>
          <w:lang w:val="sr-Cyrl-CS"/>
        </w:rPr>
        <w:t xml:space="preserve">veprimtaria e prodhimit dhe tregtisë me naftë dhe derivate të naftës – </w:t>
      </w:r>
      <w:r w:rsidRPr="00CB554C">
        <w:rPr>
          <w:sz w:val="22"/>
          <w:szCs w:val="22"/>
        </w:rPr>
        <w:t>tetë</w:t>
      </w:r>
      <w:r w:rsidRPr="00CB554C">
        <w:rPr>
          <w:sz w:val="22"/>
          <w:szCs w:val="22"/>
          <w:lang w:val="sr-Cyrl-CS"/>
        </w:rPr>
        <w:t xml:space="preserve">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делатност  производње и трговине на велико дуванским производима – шест просечне зараде.</w:t>
      </w:r>
    </w:p>
    <w:p w:rsidR="0049202B" w:rsidRPr="00CB554C" w:rsidRDefault="0049202B" w:rsidP="00A57695">
      <w:pPr>
        <w:pStyle w:val="BodyText"/>
        <w:ind w:left="720"/>
        <w:rPr>
          <w:sz w:val="22"/>
          <w:szCs w:val="22"/>
          <w:lang w:val="sr-Cyrl-CS"/>
        </w:rPr>
      </w:pPr>
      <w:r w:rsidRPr="00CB554C">
        <w:rPr>
          <w:sz w:val="22"/>
          <w:szCs w:val="22"/>
          <w:lang w:val="sr-Cyrl-CS"/>
        </w:rPr>
        <w:t xml:space="preserve">veprimtaria e prodhimit dhe tregëtisë me shumicë me produktet e duhanit - </w:t>
      </w:r>
      <w:r w:rsidRPr="00CB554C">
        <w:rPr>
          <w:sz w:val="22"/>
          <w:szCs w:val="22"/>
          <w:lang w:val="sq-AL"/>
        </w:rPr>
        <w:t>gjashtë</w:t>
      </w:r>
      <w:r w:rsidRPr="00CB554C">
        <w:rPr>
          <w:sz w:val="22"/>
          <w:szCs w:val="22"/>
          <w:lang w:val="sr-Cyrl-CS"/>
        </w:rPr>
        <w:t xml:space="preserve">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widowControl/>
        <w:numPr>
          <w:ilvl w:val="0"/>
          <w:numId w:val="5"/>
        </w:numPr>
        <w:autoSpaceDE/>
        <w:autoSpaceDN/>
        <w:jc w:val="both"/>
        <w:rPr>
          <w:sz w:val="22"/>
          <w:szCs w:val="22"/>
          <w:lang w:val="sr-Cyrl-CS"/>
        </w:rPr>
      </w:pPr>
      <w:r w:rsidRPr="00CB554C">
        <w:rPr>
          <w:sz w:val="22"/>
          <w:szCs w:val="22"/>
          <w:lang w:val="sr-Cyrl-CS"/>
        </w:rPr>
        <w:t>осигурање имовине и лица - четири просечних зарада.</w:t>
      </w:r>
    </w:p>
    <w:p w:rsidR="0049202B" w:rsidRPr="00CB554C" w:rsidRDefault="0049202B" w:rsidP="00A57695">
      <w:pPr>
        <w:pStyle w:val="BodyText"/>
        <w:ind w:left="720"/>
        <w:rPr>
          <w:sz w:val="22"/>
          <w:szCs w:val="22"/>
          <w:lang w:val="sr-Cyrl-CS"/>
        </w:rPr>
      </w:pPr>
      <w:r w:rsidRPr="00CB554C">
        <w:rPr>
          <w:sz w:val="22"/>
          <w:szCs w:val="22"/>
          <w:lang w:val="sr-Cyrl-CS"/>
        </w:rPr>
        <w:t xml:space="preserve">veprimtaria e sigurimit të pasurisë dhe personave – </w:t>
      </w:r>
      <w:r w:rsidRPr="00CB554C">
        <w:rPr>
          <w:sz w:val="22"/>
          <w:szCs w:val="22"/>
        </w:rPr>
        <w:t>katër</w:t>
      </w:r>
      <w:r w:rsidRPr="00CB554C">
        <w:rPr>
          <w:sz w:val="22"/>
          <w:szCs w:val="22"/>
          <w:lang w:val="sr-Cyrl-CS"/>
        </w:rPr>
        <w:t xml:space="preserve"> paga mesatare;</w:t>
      </w:r>
    </w:p>
    <w:p w:rsidR="0049202B" w:rsidRPr="00CB554C" w:rsidRDefault="0049202B" w:rsidP="00A57695">
      <w:pPr>
        <w:pStyle w:val="BodyText"/>
        <w:rPr>
          <w:sz w:val="22"/>
          <w:szCs w:val="22"/>
          <w:lang w:val="sr-Cyrl-CS"/>
        </w:rPr>
      </w:pPr>
    </w:p>
    <w:p w:rsidR="0049202B" w:rsidRPr="00CB554C" w:rsidRDefault="0049202B" w:rsidP="00A57695">
      <w:pPr>
        <w:pStyle w:val="BodyText"/>
        <w:ind w:firstLine="720"/>
        <w:rPr>
          <w:sz w:val="22"/>
          <w:szCs w:val="22"/>
          <w:lang w:val="sr-Cyrl-CS"/>
        </w:rPr>
      </w:pPr>
    </w:p>
    <w:p w:rsidR="0049202B" w:rsidRDefault="0049202B" w:rsidP="00A57695">
      <w:pPr>
        <w:pStyle w:val="BodyText"/>
        <w:ind w:firstLine="720"/>
        <w:jc w:val="both"/>
        <w:rPr>
          <w:b/>
          <w:sz w:val="22"/>
          <w:szCs w:val="22"/>
          <w:lang w:val="sq-AL"/>
        </w:rPr>
      </w:pPr>
      <w:r w:rsidRPr="00CB554C">
        <w:rPr>
          <w:sz w:val="22"/>
          <w:szCs w:val="22"/>
          <w:lang w:val="sr-Cyrl-CS"/>
        </w:rPr>
        <w:t>Под просечном зарадом, у смислу ст. 2. 3. и 4. овог члана, сматра се просечна зарада по запосленом остварена на територији јединице локалне самоуправе у периоду јануар-август године која предходи години за коју се утрђује фирмарина, према подацима републичког органа надлежног за послове статистике. Просечна зарада по запосленом за период јануар-август 20</w:t>
      </w:r>
      <w:r w:rsidRPr="00CB554C">
        <w:rPr>
          <w:sz w:val="22"/>
          <w:szCs w:val="22"/>
        </w:rPr>
        <w:t>2</w:t>
      </w:r>
      <w:r w:rsidR="007B7989">
        <w:rPr>
          <w:sz w:val="22"/>
          <w:szCs w:val="22"/>
        </w:rPr>
        <w:t>4</w:t>
      </w:r>
      <w:r w:rsidRPr="00CB554C">
        <w:rPr>
          <w:sz w:val="22"/>
          <w:szCs w:val="22"/>
          <w:lang w:val="sr-Cyrl-CS"/>
        </w:rPr>
        <w:t xml:space="preserve">. </w:t>
      </w:r>
      <w:r w:rsidRPr="00CB554C">
        <w:rPr>
          <w:sz w:val="22"/>
          <w:szCs w:val="22"/>
          <w:lang w:val="sr-Cyrl-CS"/>
        </w:rPr>
        <w:lastRenderedPageBreak/>
        <w:t xml:space="preserve">године за општину Бујановац износи </w:t>
      </w:r>
      <w:r w:rsidR="00D04836" w:rsidRPr="00D04836">
        <w:rPr>
          <w:b/>
          <w:bCs/>
          <w:sz w:val="22"/>
          <w:szCs w:val="22"/>
          <w:lang w:val="sr-Cyrl-CS"/>
        </w:rPr>
        <w:t>96</w:t>
      </w:r>
      <w:r w:rsidRPr="00D04836">
        <w:rPr>
          <w:b/>
          <w:bCs/>
          <w:sz w:val="22"/>
          <w:szCs w:val="22"/>
        </w:rPr>
        <w:t>.</w:t>
      </w:r>
      <w:r w:rsidR="00D04836">
        <w:rPr>
          <w:b/>
          <w:sz w:val="22"/>
          <w:szCs w:val="22"/>
        </w:rPr>
        <w:t>066</w:t>
      </w:r>
      <w:r w:rsidRPr="0084332F">
        <w:rPr>
          <w:b/>
          <w:sz w:val="22"/>
          <w:szCs w:val="22"/>
        </w:rPr>
        <w:t>,0</w:t>
      </w:r>
      <w:r w:rsidRPr="0084332F">
        <w:rPr>
          <w:b/>
          <w:sz w:val="22"/>
          <w:szCs w:val="22"/>
          <w:lang w:val="sr-Cyrl-CS"/>
        </w:rPr>
        <w:t>0 динара.</w:t>
      </w:r>
    </w:p>
    <w:p w:rsidR="0049202B" w:rsidRPr="00590DF7" w:rsidRDefault="0049202B" w:rsidP="00A57695">
      <w:pPr>
        <w:pStyle w:val="BodyText"/>
        <w:ind w:firstLine="720"/>
        <w:jc w:val="both"/>
        <w:rPr>
          <w:b/>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 xml:space="preserve">Me pagë mesatare në kuptim të </w:t>
      </w:r>
      <w:r w:rsidRPr="00CB554C">
        <w:rPr>
          <w:sz w:val="22"/>
          <w:szCs w:val="22"/>
          <w:lang w:val="sq-AL"/>
        </w:rPr>
        <w:t>paragrafit</w:t>
      </w:r>
      <w:r w:rsidRPr="00CB554C">
        <w:rPr>
          <w:sz w:val="22"/>
          <w:szCs w:val="22"/>
          <w:lang w:val="sr-Cyrl-CS"/>
        </w:rPr>
        <w:t xml:space="preserve"> 2. 3. dhe 4. të këtij neni, konsiderohet paga mesatare për të punësuar e realizuar në territorin e njësisë së vetadministrimit lokal në periudhën janar-gusht të viti që i paraprinë vitit për të cilin përcaktohet firmarina, sipas të dhënave të organit kompetent republikan për punët statistikore. Paga mesatare për të punësuarit për periudhën janar – gusht të vitit 20</w:t>
      </w:r>
      <w:r w:rsidRPr="00CB554C">
        <w:rPr>
          <w:sz w:val="22"/>
          <w:szCs w:val="22"/>
        </w:rPr>
        <w:t>2</w:t>
      </w:r>
      <w:r w:rsidR="007B7989">
        <w:rPr>
          <w:sz w:val="22"/>
          <w:szCs w:val="22"/>
        </w:rPr>
        <w:t>4</w:t>
      </w:r>
      <w:r w:rsidRPr="00CB554C">
        <w:rPr>
          <w:sz w:val="22"/>
          <w:szCs w:val="22"/>
          <w:lang w:val="sr-Cyrl-CS"/>
        </w:rPr>
        <w:t>. për Komunën e Bujanocit është</w:t>
      </w:r>
      <w:r w:rsidR="007B7989">
        <w:rPr>
          <w:b/>
          <w:bCs/>
          <w:sz w:val="22"/>
          <w:szCs w:val="22"/>
        </w:rPr>
        <w:t>96</w:t>
      </w:r>
      <w:r w:rsidR="0084332F" w:rsidRPr="0084332F">
        <w:rPr>
          <w:b/>
          <w:bCs/>
          <w:sz w:val="22"/>
          <w:szCs w:val="22"/>
        </w:rPr>
        <w:t>.</w:t>
      </w:r>
      <w:r w:rsidR="007B7989">
        <w:rPr>
          <w:b/>
          <w:bCs/>
          <w:sz w:val="22"/>
          <w:szCs w:val="22"/>
        </w:rPr>
        <w:t>066</w:t>
      </w:r>
      <w:r w:rsidRPr="0084332F">
        <w:rPr>
          <w:b/>
          <w:sz w:val="22"/>
          <w:szCs w:val="22"/>
        </w:rPr>
        <w:t>,0</w:t>
      </w:r>
      <w:r w:rsidRPr="0084332F">
        <w:rPr>
          <w:b/>
          <w:sz w:val="22"/>
          <w:szCs w:val="22"/>
          <w:lang w:val="sr-Cyrl-CS"/>
        </w:rPr>
        <w:t>0</w:t>
      </w:r>
      <w:r w:rsidRPr="0084332F">
        <w:rPr>
          <w:sz w:val="22"/>
          <w:szCs w:val="22"/>
          <w:lang w:val="sr-Cyrl-CS"/>
        </w:rPr>
        <w:t xml:space="preserve"> dinarë</w:t>
      </w:r>
      <w:r w:rsidRPr="00CB554C">
        <w:rPr>
          <w:sz w:val="22"/>
          <w:szCs w:val="22"/>
          <w:lang w:val="sr-Cyrl-CS"/>
        </w:rPr>
        <w:t>.</w:t>
      </w:r>
    </w:p>
    <w:p w:rsidR="0049202B" w:rsidRPr="00CB554C" w:rsidRDefault="0049202B" w:rsidP="00A57695">
      <w:pPr>
        <w:pStyle w:val="BodyTextIndent"/>
        <w:ind w:firstLine="720"/>
        <w:rPr>
          <w:rFonts w:ascii="Times New Roman" w:hAnsi="Times New Roman"/>
          <w:b/>
          <w:bCs/>
          <w:sz w:val="22"/>
          <w:szCs w:val="22"/>
          <w:lang w:val="sr-Cyrl-CS"/>
        </w:rPr>
      </w:pPr>
    </w:p>
    <w:p w:rsidR="0049202B"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r-Cyrl-CS"/>
        </w:rPr>
        <w:t>Фирма, у смислу ове Одлуке, јесте сваки истакнути назив или име које упућује на то да правно или физичко лице обавља одређену делатност.</w:t>
      </w:r>
    </w:p>
    <w:p w:rsidR="0049202B" w:rsidRPr="00590DF7" w:rsidRDefault="0049202B" w:rsidP="00A57695">
      <w:pPr>
        <w:pStyle w:val="BodyTextIndent"/>
        <w:rPr>
          <w:rFonts w:ascii="Times New Roman" w:hAnsi="Times New Roman"/>
          <w:bCs/>
          <w:sz w:val="22"/>
          <w:szCs w:val="22"/>
          <w:lang w:val="sq-AL"/>
        </w:rPr>
      </w:pPr>
    </w:p>
    <w:p w:rsidR="0049202B" w:rsidRPr="00CB554C"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q-AL"/>
        </w:rPr>
        <w:t>Firma në kuptim të këtij vendimi është çdo emërtim i ekspozuar ose emër i cili shpie në atë se subjekti juridik ose fizik e ushtron një veprimtari të caktuar.</w:t>
      </w:r>
    </w:p>
    <w:p w:rsidR="0049202B" w:rsidRPr="00CB554C" w:rsidRDefault="0049202B" w:rsidP="00A57695">
      <w:pPr>
        <w:pStyle w:val="BodyTextIndent"/>
        <w:rPr>
          <w:rFonts w:ascii="Times New Roman" w:hAnsi="Times New Roman"/>
          <w:bCs/>
          <w:sz w:val="22"/>
          <w:szCs w:val="22"/>
          <w:lang w:val="sq-AL"/>
        </w:rPr>
      </w:pPr>
    </w:p>
    <w:p w:rsidR="0049202B"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r-Cyrl-CS"/>
        </w:rPr>
        <w:t>Ако се на једном пословном објекту налази више истакнутих фирми истог обвезника такса се плаћа само за једну фирму.</w:t>
      </w:r>
    </w:p>
    <w:p w:rsidR="0049202B" w:rsidRPr="00590DF7" w:rsidRDefault="0049202B" w:rsidP="00A57695">
      <w:pPr>
        <w:pStyle w:val="BodyTextIndent"/>
        <w:rPr>
          <w:rFonts w:ascii="Times New Roman" w:hAnsi="Times New Roman"/>
          <w:bCs/>
          <w:sz w:val="22"/>
          <w:szCs w:val="22"/>
          <w:lang w:val="sq-AL"/>
        </w:rPr>
      </w:pPr>
    </w:p>
    <w:p w:rsidR="0049202B" w:rsidRPr="00CB554C"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q-AL"/>
        </w:rPr>
        <w:t>Nëse në një objekt afarist gjenden të ekspozuara emërtime të më shumë firmave të të njëjtit obligues taksa paguhet vetëm s epër një firmë.</w:t>
      </w:r>
    </w:p>
    <w:p w:rsidR="0049202B" w:rsidRPr="00CB554C" w:rsidRDefault="0049202B" w:rsidP="00A57695">
      <w:pPr>
        <w:pStyle w:val="BodyTextIndent"/>
        <w:rPr>
          <w:rFonts w:ascii="Times New Roman" w:hAnsi="Times New Roman"/>
          <w:bCs/>
          <w:sz w:val="22"/>
          <w:szCs w:val="22"/>
          <w:lang w:val="sq-AL"/>
        </w:rPr>
      </w:pPr>
    </w:p>
    <w:p w:rsidR="0049202B"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r-Cyrl-CS"/>
        </w:rPr>
        <w:t>Локална комунална такса за истицање фирме на пословном простору плаћа се за седиште, представништво или пословну јединицу правног лица и предузетника на територији општине Бујановац.</w:t>
      </w:r>
    </w:p>
    <w:p w:rsidR="0049202B" w:rsidRPr="00590DF7" w:rsidRDefault="0049202B" w:rsidP="00A57695">
      <w:pPr>
        <w:pStyle w:val="BodyTextIndent"/>
        <w:rPr>
          <w:rFonts w:ascii="Times New Roman" w:hAnsi="Times New Roman"/>
          <w:bCs/>
          <w:sz w:val="22"/>
          <w:szCs w:val="22"/>
          <w:lang w:val="sq-AL"/>
        </w:rPr>
      </w:pPr>
    </w:p>
    <w:p w:rsidR="0049202B"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q-AL"/>
        </w:rPr>
        <w:t>Taksa lokale komunale për ekspozimin për ekspozimin e firmës në hapësirën afariste paguhet për selinë, përfaqësinë ose njësinë afarsite të subjektit juridik dhe ndërmarrësit në territorin e Komunës së Bujanocit.</w:t>
      </w:r>
    </w:p>
    <w:p w:rsidR="0049202B" w:rsidRPr="00CB554C" w:rsidRDefault="0049202B" w:rsidP="00A57695">
      <w:pPr>
        <w:pStyle w:val="BodyTextIndent"/>
        <w:rPr>
          <w:rFonts w:ascii="Times New Roman" w:hAnsi="Times New Roman"/>
          <w:bCs/>
          <w:sz w:val="22"/>
          <w:szCs w:val="22"/>
          <w:lang w:val="sq-AL"/>
        </w:rPr>
      </w:pPr>
    </w:p>
    <w:p w:rsidR="0049202B" w:rsidRDefault="0049202B" w:rsidP="00A57695">
      <w:pPr>
        <w:pStyle w:val="BodyTextIndent"/>
        <w:rPr>
          <w:rFonts w:ascii="Times New Roman" w:hAnsi="Times New Roman"/>
          <w:bCs/>
          <w:sz w:val="22"/>
          <w:szCs w:val="22"/>
          <w:lang w:val="sq-AL"/>
        </w:rPr>
      </w:pPr>
      <w:r w:rsidRPr="00CB554C">
        <w:rPr>
          <w:rFonts w:ascii="Times New Roman" w:hAnsi="Times New Roman"/>
          <w:bCs/>
          <w:sz w:val="22"/>
          <w:szCs w:val="22"/>
          <w:lang w:val="sr-Cyrl-CS"/>
        </w:rPr>
        <w:t>Обвезници који на територији општине Бујановац поседују више објеката, локалну комуналну таксу за истицање фирме на пословном простору плаћају за један објекат који је у зони за коју је утврђен највиши износ комуналне таксе, а за сваки други пословни објекат плаћају комуналну таксу у висини од 50% прописане таксе у зони за коју је утврђен највиши износ комуналне таксе за велика, средња и мала правна лица и предузетнике.</w:t>
      </w:r>
    </w:p>
    <w:p w:rsidR="0049202B" w:rsidRPr="00590DF7" w:rsidRDefault="0049202B" w:rsidP="00A57695">
      <w:pPr>
        <w:pStyle w:val="BodyTextIndent"/>
        <w:rPr>
          <w:rFonts w:ascii="Times New Roman" w:hAnsi="Times New Roman"/>
          <w:bCs/>
          <w:sz w:val="22"/>
          <w:szCs w:val="22"/>
          <w:lang w:val="sq-AL"/>
        </w:rPr>
      </w:pPr>
    </w:p>
    <w:p w:rsidR="0049202B" w:rsidRPr="00CB554C" w:rsidRDefault="0049202B" w:rsidP="00A57695">
      <w:pPr>
        <w:spacing w:after="0" w:line="240" w:lineRule="auto"/>
        <w:ind w:firstLine="705"/>
        <w:jc w:val="both"/>
        <w:rPr>
          <w:rFonts w:ascii="Times New Roman" w:hAnsi="Times New Roman"/>
        </w:rPr>
      </w:pPr>
      <w:r w:rsidRPr="00CB554C">
        <w:rPr>
          <w:rFonts w:ascii="Times New Roman" w:hAnsi="Times New Roman"/>
        </w:rPr>
        <w:t>Tatimpaguesit që në territorin e Komunës së Bujanocit zotërojnë më shumë se një objekt, paguajnë taksën lokale komunale për ekspozimin e  firmës në lokalin afarist për një objekt në zonën për të cilën është përcaktuar shuma më e lartë e taksës komunale, ndërkaq për çdo objekt tjetër të biznesit ata paguajnë taksën komunale në lartësi prej 50%  të taksës së përcaktuara në zonën për të cilën është përcaktuar shuma më e lartë e taksës për subjekte juridike dhe ndërmarrje të mëdha, të mesme dhe të vogla.</w:t>
      </w:r>
    </w:p>
    <w:p w:rsidR="0049202B" w:rsidRPr="00CB554C" w:rsidRDefault="0049202B" w:rsidP="00A57695">
      <w:pPr>
        <w:pStyle w:val="BodyTextIndent"/>
        <w:rPr>
          <w:rFonts w:ascii="Times New Roman" w:hAnsi="Times New Roman"/>
          <w:bCs/>
          <w:sz w:val="22"/>
          <w:szCs w:val="22"/>
          <w:lang w:val="sq-AL"/>
        </w:rPr>
      </w:pPr>
    </w:p>
    <w:p w:rsidR="0049202B" w:rsidRPr="00CB554C" w:rsidRDefault="0049202B" w:rsidP="00A57695">
      <w:pPr>
        <w:pStyle w:val="BodyTextIndent"/>
        <w:ind w:firstLine="720"/>
        <w:rPr>
          <w:rFonts w:ascii="Times New Roman" w:hAnsi="Times New Roman"/>
          <w:b/>
          <w:bCs/>
          <w:sz w:val="22"/>
          <w:szCs w:val="22"/>
          <w:lang w:val="sr-Cyrl-CS"/>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Ако је фирма истакнута у току године, пријава се подноси у року од 15 дана од дана истицања фирме.</w:t>
      </w:r>
    </w:p>
    <w:p w:rsidR="008D0B5B"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Nëse firma është vendosur gjatë vitit ajo paraqitet në afat prej 15 ditësh nga dita e vendosjes së firmës.</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Комунална такса за истакнуту фирму плаћа се у годишњем износу.</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Taksa komunale për firmën paguhet  në shumë mujore.</w:t>
      </w:r>
    </w:p>
    <w:p w:rsidR="0049202B" w:rsidRPr="00CB554C" w:rsidRDefault="0049202B" w:rsidP="00A57695">
      <w:pPr>
        <w:spacing w:after="0" w:line="240" w:lineRule="auto"/>
        <w:ind w:firstLine="720"/>
        <w:jc w:val="both"/>
        <w:rPr>
          <w:rFonts w:ascii="Times New Roman" w:hAnsi="Times New Roman"/>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Обвезници комуналне таксе по овом тарифном броју дужни су поднети пријаву до 31. јануара за годину у којој се подноси пријава.</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lastRenderedPageBreak/>
        <w:t xml:space="preserve">Taksapaguesit sipas këtij numri tarifor janë të obliguar që të paraqiten deri më 31 janar për vitin në të cilin bëhet </w:t>
      </w:r>
      <w:r w:rsidRPr="00CB554C">
        <w:rPr>
          <w:rFonts w:ascii="Times New Roman" w:hAnsi="Times New Roman"/>
          <w:lang w:val="sq-AL"/>
        </w:rPr>
        <w:t>fletë</w:t>
      </w:r>
      <w:r w:rsidRPr="00CB554C">
        <w:rPr>
          <w:rFonts w:ascii="Times New Roman" w:hAnsi="Times New Roman"/>
          <w:lang w:val="sr-Cyrl-CS"/>
        </w:rPr>
        <w:t>paraqitja.</w:t>
      </w:r>
    </w:p>
    <w:p w:rsidR="0049202B" w:rsidRPr="00CB554C" w:rsidRDefault="0049202B" w:rsidP="00A57695">
      <w:pPr>
        <w:spacing w:after="0" w:line="240" w:lineRule="auto"/>
        <w:jc w:val="both"/>
        <w:rPr>
          <w:rFonts w:ascii="Times New Roman" w:hAnsi="Times New Roman"/>
          <w:lang w:val="sr-Latn-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3"/>
        <w:gridCol w:w="3191"/>
      </w:tblGrid>
      <w:tr w:rsidR="0049202B" w:rsidRPr="00CB554C" w:rsidTr="00E11D73">
        <w:trPr>
          <w:jc w:val="center"/>
        </w:trPr>
        <w:tc>
          <w:tcPr>
            <w:tcW w:w="1667" w:type="pct"/>
          </w:tcPr>
          <w:p w:rsidR="0049202B" w:rsidRPr="00CB554C" w:rsidRDefault="0049202B" w:rsidP="00A57695">
            <w:pPr>
              <w:spacing w:after="0" w:line="240" w:lineRule="auto"/>
              <w:jc w:val="center"/>
              <w:rPr>
                <w:rFonts w:ascii="Times New Roman" w:hAnsi="Times New Roman"/>
                <w:lang w:val="sq-AL"/>
              </w:rPr>
            </w:pPr>
            <w:r w:rsidRPr="00CB554C">
              <w:rPr>
                <w:rFonts w:ascii="Times New Roman" w:hAnsi="Times New Roman"/>
                <w:lang w:val="sq-AL"/>
              </w:rPr>
              <w:t>Уплатни рачун</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Llogaria e pagesës</w:t>
            </w:r>
          </w:p>
        </w:tc>
        <w:tc>
          <w:tcPr>
            <w:tcW w:w="1667" w:type="pct"/>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Број уплатног рачуна</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Numri llogariaris pagesës</w:t>
            </w:r>
          </w:p>
        </w:tc>
        <w:tc>
          <w:tcPr>
            <w:tcW w:w="166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Позив на број одобрења</w:t>
            </w:r>
          </w:p>
          <w:p w:rsidR="0049202B" w:rsidRPr="00CB554C" w:rsidRDefault="0049202B" w:rsidP="00A57695">
            <w:pPr>
              <w:spacing w:after="0" w:line="240" w:lineRule="auto"/>
              <w:jc w:val="both"/>
              <w:rPr>
                <w:rFonts w:ascii="Times New Roman" w:hAnsi="Times New Roman"/>
                <w:lang w:val="sr-Latn-CS"/>
              </w:rPr>
            </w:pPr>
            <w:r w:rsidRPr="00CB554C">
              <w:rPr>
                <w:rStyle w:val="shorttext"/>
                <w:rFonts w:ascii="Times New Roman" w:hAnsi="Times New Roman"/>
                <w:lang w:val="sq-AL"/>
              </w:rPr>
              <w:t>Thirrja për numrin e miratimit</w:t>
            </w:r>
          </w:p>
        </w:tc>
      </w:tr>
      <w:tr w:rsidR="0049202B" w:rsidRPr="00CB554C" w:rsidTr="00E11D73">
        <w:trPr>
          <w:jc w:val="center"/>
        </w:trPr>
        <w:tc>
          <w:tcPr>
            <w:tcW w:w="166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Комунална такса за истицање фирми на пословном простору</w:t>
            </w:r>
          </w:p>
          <w:p w:rsidR="0049202B" w:rsidRPr="00CB554C" w:rsidRDefault="0049202B" w:rsidP="00A57695">
            <w:pPr>
              <w:spacing w:after="0" w:line="240" w:lineRule="auto"/>
              <w:jc w:val="both"/>
              <w:rPr>
                <w:rFonts w:ascii="Times New Roman" w:hAnsi="Times New Roman"/>
                <w:lang w:val="sq-AL"/>
              </w:rPr>
            </w:pPr>
            <w:r w:rsidRPr="00CB554C">
              <w:rPr>
                <w:rFonts w:ascii="Times New Roman" w:hAnsi="Times New Roman"/>
                <w:lang w:val="sr-Cyrl-CS"/>
              </w:rPr>
              <w:t xml:space="preserve">Taksa komunale për </w:t>
            </w:r>
            <w:r w:rsidRPr="00CB554C">
              <w:rPr>
                <w:rFonts w:ascii="Times New Roman" w:hAnsi="Times New Roman"/>
                <w:lang w:val="sq-AL"/>
              </w:rPr>
              <w:t xml:space="preserve">publikimin e </w:t>
            </w:r>
            <w:r w:rsidRPr="00CB554C">
              <w:rPr>
                <w:rFonts w:ascii="Times New Roman" w:hAnsi="Times New Roman"/>
                <w:lang w:val="sr-Cyrl-CS"/>
              </w:rPr>
              <w:t>firmë</w:t>
            </w:r>
            <w:r w:rsidRPr="00CB554C">
              <w:rPr>
                <w:rFonts w:ascii="Times New Roman" w:hAnsi="Times New Roman"/>
                <w:lang w:val="sq-AL"/>
              </w:rPr>
              <w:t>s në hapsirën afariste</w:t>
            </w:r>
          </w:p>
        </w:tc>
        <w:tc>
          <w:tcPr>
            <w:tcW w:w="1667"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840-716111843-35</w:t>
            </w:r>
          </w:p>
        </w:tc>
        <w:tc>
          <w:tcPr>
            <w:tcW w:w="1667"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97 08-030</w:t>
            </w:r>
          </w:p>
        </w:tc>
      </w:tr>
    </w:tbl>
    <w:p w:rsidR="0049202B" w:rsidRPr="00CB554C" w:rsidRDefault="0049202B" w:rsidP="00A57695">
      <w:pPr>
        <w:spacing w:after="0" w:line="240" w:lineRule="auto"/>
        <w:jc w:val="both"/>
        <w:rPr>
          <w:rFonts w:ascii="Times New Roman" w:hAnsi="Times New Roman"/>
          <w:lang w:val="sr-Latn-CS"/>
        </w:rPr>
      </w:pPr>
    </w:p>
    <w:p w:rsidR="0049202B" w:rsidRPr="00CB554C" w:rsidRDefault="0049202B" w:rsidP="00A57695">
      <w:pPr>
        <w:spacing w:after="0" w:line="240" w:lineRule="auto"/>
        <w:rPr>
          <w:rFonts w:ascii="Times New Roman" w:hAnsi="Times New Roman"/>
          <w:b/>
          <w:lang w:val="sr-Cyrl-CS"/>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Обвезник пореза на доходак грађана који обавља следеће занатске делатности: ковачке, коларске, подкивачке, оштрачи, пушкари, колари, јорганxије, вуновлачари, ћурчије, одгајивачи птица, ослобађају се плаћања комуналне таксе за истакнуту фирму.</w:t>
      </w:r>
    </w:p>
    <w:p w:rsidR="0049202B" w:rsidRPr="00CB554C" w:rsidRDefault="0049202B" w:rsidP="00A57695">
      <w:pPr>
        <w:pStyle w:val="BodyTextIndent"/>
        <w:ind w:firstLine="720"/>
        <w:rPr>
          <w:rFonts w:ascii="Times New Roman" w:hAnsi="Times New Roman"/>
          <w:sz w:val="22"/>
          <w:szCs w:val="22"/>
          <w:lang w:val="sr-Cyrl-CS"/>
        </w:rPr>
      </w:pPr>
      <w:r w:rsidRPr="00CB554C">
        <w:rPr>
          <w:rFonts w:ascii="Times New Roman" w:hAnsi="Times New Roman"/>
          <w:sz w:val="22"/>
          <w:szCs w:val="22"/>
          <w:lang w:val="sr-Cyrl-CS"/>
        </w:rPr>
        <w:t xml:space="preserve">Obliguesi i tatimit në të ardhura të qytetarëve i cili merret me këto veprimtari zejtare: farkëtari, qerepunues, nallbanët, mprehësit, pushkëtarët, jargon punuesit, leshëpunuesit, kultivuesit e zogjëve, lirohen nga pagesa e taksës komunale për </w:t>
      </w:r>
      <w:r w:rsidRPr="00CB554C">
        <w:rPr>
          <w:rFonts w:ascii="Times New Roman" w:hAnsi="Times New Roman"/>
          <w:sz w:val="22"/>
          <w:szCs w:val="22"/>
          <w:lang w:val="sq-AL"/>
        </w:rPr>
        <w:t>ekspozimin</w:t>
      </w:r>
      <w:r w:rsidRPr="00CB554C">
        <w:rPr>
          <w:rFonts w:ascii="Times New Roman" w:hAnsi="Times New Roman"/>
          <w:sz w:val="22"/>
          <w:szCs w:val="22"/>
          <w:lang w:val="sr-Cyrl-CS"/>
        </w:rPr>
        <w:t xml:space="preserve"> e firmës.</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b/>
          <w:bCs/>
          <w:lang w:val="sr-Cyrl-CS"/>
        </w:rPr>
        <w:t>Тарифни број – Numri tarifor  2.</w:t>
      </w:r>
    </w:p>
    <w:p w:rsidR="0049202B" w:rsidRPr="00CB554C" w:rsidRDefault="0049202B" w:rsidP="00A57695">
      <w:pPr>
        <w:pStyle w:val="BodyText"/>
        <w:ind w:firstLine="720"/>
        <w:rPr>
          <w:sz w:val="22"/>
          <w:szCs w:val="22"/>
          <w:lang w:val="sr-Cyrl-CS"/>
        </w:rPr>
      </w:pPr>
      <w:r w:rsidRPr="00CB554C">
        <w:rPr>
          <w:sz w:val="22"/>
          <w:szCs w:val="22"/>
          <w:lang w:val="sr-Cyrl-CS"/>
        </w:rPr>
        <w:t>За држање моторних друмских и прикључних возила плаћа се годишње:</w:t>
      </w:r>
    </w:p>
    <w:p w:rsidR="0049202B" w:rsidRPr="00CB554C" w:rsidRDefault="0049202B" w:rsidP="00A57695">
      <w:pPr>
        <w:pStyle w:val="BodyText"/>
        <w:ind w:firstLine="720"/>
        <w:rPr>
          <w:sz w:val="22"/>
          <w:szCs w:val="22"/>
          <w:lang w:val="sr-Cyrl-CS"/>
        </w:rPr>
      </w:pPr>
      <w:r w:rsidRPr="00CB554C">
        <w:rPr>
          <w:sz w:val="22"/>
          <w:szCs w:val="22"/>
          <w:lang w:val="sq-AL"/>
        </w:rPr>
        <w:t>Për mbajtjen e</w:t>
      </w:r>
      <w:r w:rsidRPr="00CB554C">
        <w:rPr>
          <w:sz w:val="22"/>
          <w:szCs w:val="22"/>
        </w:rPr>
        <w:t xml:space="preserve"> automjeteve </w:t>
      </w:r>
      <w:r w:rsidRPr="00CB554C">
        <w:rPr>
          <w:sz w:val="22"/>
          <w:szCs w:val="22"/>
          <w:lang w:val="sq-AL"/>
        </w:rPr>
        <w:t xml:space="preserve"> motorike rrug</w:t>
      </w:r>
      <w:r w:rsidRPr="00CB554C">
        <w:rPr>
          <w:sz w:val="22"/>
          <w:szCs w:val="22"/>
        </w:rPr>
        <w:t>о</w:t>
      </w:r>
      <w:r w:rsidRPr="00CB554C">
        <w:rPr>
          <w:sz w:val="22"/>
          <w:szCs w:val="22"/>
          <w:lang w:val="sq-AL"/>
        </w:rPr>
        <w:t>re dhe tërheqëse, paguhet çdo vit:</w:t>
      </w:r>
    </w:p>
    <w:p w:rsidR="0049202B" w:rsidRPr="00CB554C" w:rsidRDefault="0049202B" w:rsidP="00A57695">
      <w:pPr>
        <w:pStyle w:val="BodyText"/>
        <w:rPr>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349"/>
        <w:gridCol w:w="1513"/>
      </w:tblGrid>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Р.б.</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Nr.r.</w:t>
            </w:r>
          </w:p>
        </w:tc>
        <w:tc>
          <w:tcPr>
            <w:tcW w:w="3837" w:type="pct"/>
            <w:vAlign w:val="center"/>
          </w:tcPr>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Опис – Përshkrimi</w:t>
            </w:r>
          </w:p>
        </w:tc>
        <w:tc>
          <w:tcPr>
            <w:tcW w:w="790" w:type="pct"/>
            <w:vAlign w:val="center"/>
          </w:tcPr>
          <w:p w:rsidR="0049202B" w:rsidRPr="00CB554C" w:rsidRDefault="0049202B" w:rsidP="00A57695">
            <w:pPr>
              <w:spacing w:after="0" w:line="240" w:lineRule="auto"/>
              <w:jc w:val="center"/>
              <w:rPr>
                <w:rFonts w:ascii="Times New Roman" w:hAnsi="Times New Roman"/>
                <w:b/>
                <w:bCs/>
                <w:lang w:val="sr-Latn-CS"/>
              </w:rPr>
            </w:pPr>
            <w:r w:rsidRPr="00CB554C">
              <w:rPr>
                <w:rFonts w:ascii="Times New Roman" w:hAnsi="Times New Roman"/>
                <w:b/>
                <w:bCs/>
                <w:lang w:val="sr-Cyrl-CS"/>
              </w:rPr>
              <w:t>202</w:t>
            </w:r>
            <w:r w:rsidR="009C5F5D">
              <w:rPr>
                <w:rFonts w:ascii="Times New Roman" w:hAnsi="Times New Roman"/>
                <w:b/>
                <w:bCs/>
              </w:rPr>
              <w:t>5</w:t>
            </w:r>
            <w:r w:rsidRPr="00CB554C">
              <w:rPr>
                <w:rFonts w:ascii="Times New Roman" w:hAnsi="Times New Roman"/>
                <w:b/>
                <w:bCs/>
                <w:lang w:val="sr-Cyrl-CS"/>
              </w:rPr>
              <w:t>.</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1.</w:t>
            </w:r>
          </w:p>
        </w:tc>
        <w:tc>
          <w:tcPr>
            <w:tcW w:w="3837" w:type="pct"/>
          </w:tcPr>
          <w:p w:rsidR="0049202B" w:rsidRPr="00CB554C" w:rsidRDefault="0049202B" w:rsidP="00A57695">
            <w:pPr>
              <w:pStyle w:val="BodyText2"/>
              <w:rPr>
                <w:rFonts w:ascii="Times New Roman" w:hAnsi="Times New Roman"/>
                <w:sz w:val="22"/>
                <w:szCs w:val="22"/>
                <w:lang w:val="sr-Cyrl-CS"/>
              </w:rPr>
            </w:pPr>
            <w:r w:rsidRPr="00CB554C">
              <w:rPr>
                <w:rFonts w:ascii="Times New Roman" w:hAnsi="Times New Roman"/>
                <w:sz w:val="22"/>
                <w:szCs w:val="22"/>
                <w:lang w:val="sr-Cyrl-CS"/>
              </w:rPr>
              <w:t>за аутобусе  и комби бусеве по регистрованом седишту</w:t>
            </w:r>
          </w:p>
          <w:p w:rsidR="0049202B" w:rsidRPr="00CB554C" w:rsidRDefault="0049202B" w:rsidP="00A57695">
            <w:pPr>
              <w:pStyle w:val="BodyText2"/>
              <w:rPr>
                <w:rFonts w:ascii="Times New Roman" w:hAnsi="Times New Roman"/>
                <w:sz w:val="22"/>
                <w:szCs w:val="22"/>
                <w:lang w:val="sr-Cyrl-CS"/>
              </w:rPr>
            </w:pPr>
            <w:r w:rsidRPr="00CB554C">
              <w:rPr>
                <w:rFonts w:ascii="Times New Roman" w:hAnsi="Times New Roman"/>
                <w:sz w:val="22"/>
                <w:szCs w:val="22"/>
                <w:lang w:val="sr-Cyrl-CS"/>
              </w:rPr>
              <w:t>për autobus dhe kombi bus për secilën sedile të regjistruar</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Cyrl-CS"/>
              </w:rPr>
            </w:pPr>
            <w:r w:rsidRPr="00A355F6">
              <w:rPr>
                <w:rFonts w:ascii="Times New Roman" w:hAnsi="Times New Roman"/>
              </w:rPr>
              <w:t>7</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2.</w:t>
            </w: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теретна возила</w:t>
            </w:r>
          </w:p>
          <w:p w:rsidR="0049202B" w:rsidRPr="00CB554C" w:rsidRDefault="0049202B" w:rsidP="00A57695">
            <w:pPr>
              <w:spacing w:after="0" w:line="240" w:lineRule="auto"/>
              <w:jc w:val="both"/>
              <w:rPr>
                <w:rFonts w:ascii="Times New Roman" w:hAnsi="Times New Roman"/>
                <w:lang w:val="sq-AL"/>
              </w:rPr>
            </w:pPr>
            <w:r w:rsidRPr="00CB554C">
              <w:rPr>
                <w:rFonts w:ascii="Times New Roman" w:hAnsi="Times New Roman"/>
                <w:lang w:val="sq-AL"/>
              </w:rPr>
              <w:t>Për maune transporti</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камионе до 2 т носивости – për kamion deri 2 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Cyrl-CS"/>
              </w:rPr>
            </w:pPr>
            <w:r w:rsidRPr="00A355F6">
              <w:rPr>
                <w:rFonts w:ascii="Times New Roman" w:hAnsi="Times New Roman"/>
              </w:rPr>
              <w:t>2.</w:t>
            </w:r>
            <w:r w:rsidR="009C5F5D">
              <w:rPr>
                <w:rFonts w:ascii="Times New Roman" w:hAnsi="Times New Roman"/>
              </w:rPr>
              <w:t>460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камионе до 2 т до 5 т носивости - për kamion prej 2 t – 5t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Cyrl-CS"/>
              </w:rPr>
            </w:pPr>
            <w:r w:rsidRPr="00A355F6">
              <w:rPr>
                <w:rFonts w:ascii="Times New Roman" w:hAnsi="Times New Roman"/>
              </w:rPr>
              <w:t>3</w:t>
            </w:r>
            <w:r w:rsidR="0049202B" w:rsidRPr="00A355F6">
              <w:rPr>
                <w:rFonts w:ascii="Times New Roman" w:hAnsi="Times New Roman"/>
                <w:lang w:val="sr-Cyrl-CS"/>
              </w:rPr>
              <w:t>.</w:t>
            </w:r>
            <w:r w:rsidR="009C5F5D">
              <w:rPr>
                <w:rFonts w:ascii="Times New Roman" w:hAnsi="Times New Roman"/>
              </w:rPr>
              <w:t>280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камионе до 5 т до 12 т носивости - për kamion prej 5 t – 12t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Cyrl-CS"/>
              </w:rPr>
            </w:pPr>
            <w:r w:rsidRPr="00A355F6">
              <w:rPr>
                <w:rFonts w:ascii="Times New Roman" w:hAnsi="Times New Roman"/>
              </w:rPr>
              <w:t>5.</w:t>
            </w:r>
            <w:r w:rsidR="009C5F5D">
              <w:rPr>
                <w:rFonts w:ascii="Times New Roman" w:hAnsi="Times New Roman"/>
              </w:rPr>
              <w:t>72</w:t>
            </w:r>
            <w:r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камионе преко  12 т носивости - për kamion mbi 12t barrë</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Latn-CS"/>
              </w:rPr>
            </w:pPr>
            <w:r>
              <w:rPr>
                <w:rFonts w:ascii="Times New Roman" w:hAnsi="Times New Roman"/>
              </w:rPr>
              <w:t>8</w:t>
            </w:r>
            <w:r w:rsidR="0049202B" w:rsidRPr="00A355F6">
              <w:rPr>
                <w:rFonts w:ascii="Times New Roman" w:hAnsi="Times New Roman"/>
                <w:lang w:val="sr-Latn-CS"/>
              </w:rPr>
              <w:t>.</w:t>
            </w:r>
            <w:r>
              <w:rPr>
                <w:rFonts w:ascii="Times New Roman" w:hAnsi="Times New Roman"/>
                <w:lang w:val="sr-Latn-CS"/>
              </w:rPr>
              <w:t>17</w:t>
            </w:r>
            <w:r w:rsidR="0049202B" w:rsidRPr="00A355F6">
              <w:rPr>
                <w:rFonts w:ascii="Times New Roman" w:hAnsi="Times New Roman"/>
              </w:rPr>
              <w:t>0</w:t>
            </w:r>
            <w:r w:rsidR="0049202B" w:rsidRPr="00A355F6">
              <w:rPr>
                <w:rFonts w:ascii="Times New Roman" w:hAnsi="Times New Roman"/>
                <w:lang w:val="sr-Latn-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3.</w:t>
            </w:r>
          </w:p>
        </w:tc>
        <w:tc>
          <w:tcPr>
            <w:tcW w:w="3837" w:type="pct"/>
          </w:tcPr>
          <w:p w:rsidR="0049202B" w:rsidRPr="00CB554C" w:rsidRDefault="0049202B" w:rsidP="00A57695">
            <w:pPr>
              <w:spacing w:after="0" w:line="240" w:lineRule="auto"/>
              <w:rPr>
                <w:rFonts w:ascii="Times New Roman" w:hAnsi="Times New Roman"/>
                <w:lang w:val="sr-Cyrl-CS"/>
              </w:rPr>
            </w:pPr>
            <w:r w:rsidRPr="00CB554C">
              <w:rPr>
                <w:rFonts w:ascii="Times New Roman" w:hAnsi="Times New Roman"/>
                <w:lang w:val="sr-Cyrl-CS"/>
              </w:rPr>
              <w:t xml:space="preserve">За теретне и радне приколице (за путничке аутомобиле) </w:t>
            </w:r>
            <w:r w:rsidRPr="00CB554C">
              <w:rPr>
                <w:rFonts w:ascii="Times New Roman" w:hAnsi="Times New Roman"/>
                <w:lang w:val="sr-Cyrl-CS"/>
              </w:rPr>
              <w:br/>
              <w:t xml:space="preserve">Për rimorkio bartëse dhe punuese (për automjete udhëtarësh) </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Latn-CS"/>
              </w:rPr>
            </w:pPr>
            <w:r>
              <w:rPr>
                <w:rFonts w:ascii="Times New Roman" w:hAnsi="Times New Roman"/>
              </w:rPr>
              <w:t>81</w:t>
            </w:r>
            <w:r w:rsidR="0049202B" w:rsidRPr="00A355F6">
              <w:rPr>
                <w:rFonts w:ascii="Times New Roman" w:hAnsi="Times New Roman"/>
              </w:rPr>
              <w:t>0</w:t>
            </w:r>
            <w:r w:rsidR="0049202B" w:rsidRPr="00A355F6">
              <w:rPr>
                <w:rFonts w:ascii="Times New Roman" w:hAnsi="Times New Roman"/>
                <w:lang w:val="sr-Latn-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4.</w:t>
            </w: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прикључна возила: теретне приколице, полуприколице и специјалне теретне приколице за превоз одређених врста терета:</w:t>
            </w:r>
          </w:p>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Për automjete të lidhura: rimorkio bartëse, gjysëmrimorkio dhe rimorkie speciale bartëse për transportin e llojit të caktuar të barrës:</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1 т носивости – 1 t barrë</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Cyrl-CS"/>
              </w:rPr>
            </w:pPr>
            <w:r>
              <w:rPr>
                <w:rFonts w:ascii="Times New Roman" w:hAnsi="Times New Roman"/>
              </w:rPr>
              <w:t>670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од  1 т до 5 т носивости – prej 1 t – 5 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Cyrl-CS"/>
              </w:rPr>
            </w:pPr>
            <w:r w:rsidRPr="00A355F6">
              <w:rPr>
                <w:rFonts w:ascii="Times New Roman" w:hAnsi="Times New Roman"/>
              </w:rPr>
              <w:t>1.</w:t>
            </w:r>
            <w:r w:rsidR="009C5F5D">
              <w:rPr>
                <w:rFonts w:ascii="Times New Roman" w:hAnsi="Times New Roman"/>
              </w:rPr>
              <w:t>14</w:t>
            </w:r>
            <w:r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од  5 т до 10 т носивости - prej 5 t – 10 t barrë</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Latn-CS"/>
              </w:rPr>
            </w:pPr>
            <w:r w:rsidRPr="00A355F6">
              <w:rPr>
                <w:rFonts w:ascii="Times New Roman" w:hAnsi="Times New Roman"/>
              </w:rPr>
              <w:t>1.</w:t>
            </w:r>
            <w:r w:rsidR="009C5F5D">
              <w:rPr>
                <w:rFonts w:ascii="Times New Roman" w:hAnsi="Times New Roman"/>
              </w:rPr>
              <w:t>55</w:t>
            </w:r>
            <w:r w:rsidRPr="00A355F6">
              <w:rPr>
                <w:rFonts w:ascii="Times New Roman" w:hAnsi="Times New Roman"/>
              </w:rPr>
              <w:t>0</w:t>
            </w:r>
            <w:r w:rsidRPr="00A355F6">
              <w:rPr>
                <w:rFonts w:ascii="Times New Roman" w:hAnsi="Times New Roman"/>
                <w:lang w:val="sr-Latn-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од  10 т до 12 т носивости - prej 10 t – 12 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Latn-CS"/>
              </w:rPr>
            </w:pPr>
            <w:r w:rsidRPr="00A355F6">
              <w:rPr>
                <w:rFonts w:ascii="Times New Roman" w:hAnsi="Times New Roman"/>
                <w:lang w:val="sr-Latn-CS"/>
              </w:rPr>
              <w:t>2.</w:t>
            </w:r>
            <w:r w:rsidR="009C5F5D">
              <w:rPr>
                <w:rFonts w:ascii="Times New Roman" w:hAnsi="Times New Roman"/>
                <w:lang w:val="sr-Latn-CS"/>
              </w:rPr>
              <w:t>15</w:t>
            </w:r>
            <w:r w:rsidRPr="00A355F6">
              <w:rPr>
                <w:rFonts w:ascii="Times New Roman" w:hAnsi="Times New Roman"/>
                <w:lang w:val="sr-Latn-CS"/>
              </w:rPr>
              <w:t>0</w:t>
            </w:r>
            <w:r w:rsidR="0049202B" w:rsidRPr="00A355F6">
              <w:rPr>
                <w:rFonts w:ascii="Times New Roman" w:hAnsi="Times New Roman"/>
                <w:lang w:val="sr-Latn-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носивости преко  12 т носивости – mbi 12 t barrë</w:t>
            </w:r>
          </w:p>
        </w:tc>
        <w:tc>
          <w:tcPr>
            <w:tcW w:w="790" w:type="pct"/>
            <w:shd w:val="clear" w:color="auto" w:fill="auto"/>
            <w:vAlign w:val="center"/>
          </w:tcPr>
          <w:p w:rsidR="0049202B" w:rsidRPr="00A355F6" w:rsidRDefault="00ED3795" w:rsidP="00A57695">
            <w:pPr>
              <w:spacing w:after="0" w:line="240" w:lineRule="auto"/>
              <w:jc w:val="right"/>
              <w:rPr>
                <w:rFonts w:ascii="Times New Roman" w:hAnsi="Times New Roman"/>
                <w:lang w:val="sr-Latn-CS"/>
              </w:rPr>
            </w:pPr>
            <w:r w:rsidRPr="00A355F6">
              <w:rPr>
                <w:rFonts w:ascii="Times New Roman" w:hAnsi="Times New Roman"/>
                <w:lang w:val="sr-Latn-CS"/>
              </w:rPr>
              <w:t>3.</w:t>
            </w:r>
            <w:r w:rsidR="009C5F5D">
              <w:rPr>
                <w:rFonts w:ascii="Times New Roman" w:hAnsi="Times New Roman"/>
                <w:lang w:val="sr-Latn-CS"/>
              </w:rPr>
              <w:t>28</w:t>
            </w:r>
            <w:r w:rsidRPr="00A355F6">
              <w:rPr>
                <w:rFonts w:ascii="Times New Roman" w:hAnsi="Times New Roman"/>
                <w:lang w:val="sr-Latn-CS"/>
              </w:rPr>
              <w:t>0</w:t>
            </w:r>
            <w:r w:rsidR="0049202B" w:rsidRPr="00A355F6">
              <w:rPr>
                <w:rFonts w:ascii="Times New Roman" w:hAnsi="Times New Roman"/>
                <w:lang w:val="sr-Latn-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5.</w:t>
            </w: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путничка возила – për automjete udhëtarësh:</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до 1.150 цм</w:t>
            </w:r>
            <w:r w:rsidRPr="00CB554C">
              <w:rPr>
                <w:rFonts w:ascii="Times New Roman" w:hAnsi="Times New Roman"/>
                <w:vertAlign w:val="superscript"/>
                <w:lang w:val="sr-Cyrl-CS"/>
              </w:rPr>
              <w:t xml:space="preserve">3 </w:t>
            </w:r>
            <w:r w:rsidRPr="00CB554C">
              <w:rPr>
                <w:rFonts w:ascii="Times New Roman" w:hAnsi="Times New Roman"/>
                <w:lang w:val="sr-Cyrl-CS"/>
              </w:rPr>
              <w:t xml:space="preserve">– deri </w:t>
            </w:r>
            <w:r w:rsidRPr="00CB554C">
              <w:rPr>
                <w:rFonts w:ascii="Times New Roman" w:hAnsi="Times New Roman"/>
                <w:lang w:val="sq-AL"/>
              </w:rPr>
              <w:t>m</w:t>
            </w:r>
            <w:r w:rsidRPr="00CB554C">
              <w:rPr>
                <w:rFonts w:ascii="Times New Roman" w:hAnsi="Times New Roman"/>
                <w:lang w:val="sr-Cyrl-CS"/>
              </w:rPr>
              <w:t>ë 1.150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Cyrl-CS"/>
              </w:rPr>
            </w:pPr>
            <w:r>
              <w:rPr>
                <w:rFonts w:ascii="Times New Roman" w:hAnsi="Times New Roman"/>
              </w:rPr>
              <w:t>81</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preko 1.150 cm</w:t>
            </w:r>
            <w:r w:rsidRPr="00CB554C">
              <w:rPr>
                <w:rFonts w:ascii="Times New Roman" w:hAnsi="Times New Roman"/>
                <w:vertAlign w:val="superscript"/>
                <w:lang w:val="sr-Cyrl-CS"/>
              </w:rPr>
              <w:t>3</w:t>
            </w:r>
            <w:r w:rsidRPr="00CB554C">
              <w:rPr>
                <w:rFonts w:ascii="Times New Roman" w:hAnsi="Times New Roman"/>
                <w:lang w:val="sr-Cyrl-CS"/>
              </w:rPr>
              <w:t xml:space="preserve"> do 1.300 cm</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1.150 cm</w:t>
            </w:r>
            <w:r w:rsidRPr="00CB554C">
              <w:rPr>
                <w:rFonts w:ascii="Times New Roman" w:hAnsi="Times New Roman"/>
                <w:vertAlign w:val="superscript"/>
                <w:lang w:val="sr-Cyrl-CS"/>
              </w:rPr>
              <w:t>3</w:t>
            </w:r>
            <w:r w:rsidRPr="00CB554C">
              <w:rPr>
                <w:rFonts w:ascii="Times New Roman" w:hAnsi="Times New Roman"/>
                <w:lang w:val="sr-Cyrl-CS"/>
              </w:rPr>
              <w:t xml:space="preserve"> deri në 1.300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lang w:val="sr-Cyrl-CS"/>
              </w:rPr>
              <w:t>1.</w:t>
            </w:r>
            <w:r w:rsidR="009C5F5D">
              <w:rPr>
                <w:rFonts w:ascii="Times New Roman" w:hAnsi="Times New Roman"/>
              </w:rPr>
              <w:t>62</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1.300 цм</w:t>
            </w:r>
            <w:r w:rsidRPr="00CB554C">
              <w:rPr>
                <w:rFonts w:ascii="Times New Roman" w:hAnsi="Times New Roman"/>
                <w:vertAlign w:val="superscript"/>
                <w:lang w:val="sr-Cyrl-CS"/>
              </w:rPr>
              <w:t>3</w:t>
            </w:r>
            <w:r w:rsidRPr="00CB554C">
              <w:rPr>
                <w:rFonts w:ascii="Times New Roman" w:hAnsi="Times New Roman"/>
                <w:lang w:val="sr-Cyrl-CS"/>
              </w:rPr>
              <w:t xml:space="preserve"> до 1.600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1.300 cm</w:t>
            </w:r>
            <w:r w:rsidRPr="00CB554C">
              <w:rPr>
                <w:rFonts w:ascii="Times New Roman" w:hAnsi="Times New Roman"/>
                <w:vertAlign w:val="superscript"/>
                <w:lang w:val="sr-Cyrl-CS"/>
              </w:rPr>
              <w:t>3</w:t>
            </w:r>
            <w:r w:rsidRPr="00CB554C">
              <w:rPr>
                <w:rFonts w:ascii="Times New Roman" w:hAnsi="Times New Roman"/>
                <w:lang w:val="sr-Cyrl-CS"/>
              </w:rPr>
              <w:t xml:space="preserve"> deri në 1.600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rPr>
              <w:t>2.</w:t>
            </w:r>
            <w:r w:rsidR="009C5F5D">
              <w:rPr>
                <w:rFonts w:ascii="Times New Roman" w:hAnsi="Times New Roman"/>
              </w:rPr>
              <w:t>45</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1.600 цм</w:t>
            </w:r>
            <w:r w:rsidRPr="00CB554C">
              <w:rPr>
                <w:rFonts w:ascii="Times New Roman" w:hAnsi="Times New Roman"/>
                <w:vertAlign w:val="superscript"/>
                <w:lang w:val="sr-Cyrl-CS"/>
              </w:rPr>
              <w:t>3</w:t>
            </w:r>
            <w:r w:rsidRPr="00CB554C">
              <w:rPr>
                <w:rFonts w:ascii="Times New Roman" w:hAnsi="Times New Roman"/>
                <w:lang w:val="sr-Cyrl-CS"/>
              </w:rPr>
              <w:t xml:space="preserve"> до 2.000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1.600 cm</w:t>
            </w:r>
            <w:r w:rsidRPr="00CB554C">
              <w:rPr>
                <w:rFonts w:ascii="Times New Roman" w:hAnsi="Times New Roman"/>
                <w:vertAlign w:val="superscript"/>
                <w:lang w:val="sr-Cyrl-CS"/>
              </w:rPr>
              <w:t>3</w:t>
            </w:r>
            <w:r w:rsidRPr="00CB554C">
              <w:rPr>
                <w:rFonts w:ascii="Times New Roman" w:hAnsi="Times New Roman"/>
                <w:lang w:val="sr-Cyrl-CS"/>
              </w:rPr>
              <w:t xml:space="preserve"> deri në 2.000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778C9" w:rsidP="00A57695">
            <w:pPr>
              <w:spacing w:after="0" w:line="240" w:lineRule="auto"/>
              <w:jc w:val="right"/>
              <w:rPr>
                <w:rFonts w:ascii="Times New Roman" w:hAnsi="Times New Roman"/>
                <w:lang w:val="sr-Cyrl-CS"/>
              </w:rPr>
            </w:pPr>
            <w:r w:rsidRPr="00A355F6">
              <w:rPr>
                <w:rFonts w:ascii="Times New Roman" w:hAnsi="Times New Roman"/>
              </w:rPr>
              <w:t>3</w:t>
            </w:r>
            <w:r w:rsidR="0049202B" w:rsidRPr="00A355F6">
              <w:rPr>
                <w:rFonts w:ascii="Times New Roman" w:hAnsi="Times New Roman"/>
                <w:lang w:val="sr-Cyrl-CS"/>
              </w:rPr>
              <w:t>.</w:t>
            </w:r>
            <w:r w:rsidR="009C5F5D">
              <w:rPr>
                <w:rFonts w:ascii="Times New Roman" w:hAnsi="Times New Roman"/>
              </w:rPr>
              <w:t>28</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2.000 цм</w:t>
            </w:r>
            <w:r w:rsidRPr="00CB554C">
              <w:rPr>
                <w:rFonts w:ascii="Times New Roman" w:hAnsi="Times New Roman"/>
                <w:vertAlign w:val="superscript"/>
                <w:lang w:val="sr-Cyrl-CS"/>
              </w:rPr>
              <w:t>3</w:t>
            </w:r>
            <w:r w:rsidRPr="00CB554C">
              <w:rPr>
                <w:rFonts w:ascii="Times New Roman" w:hAnsi="Times New Roman"/>
                <w:lang w:val="sr-Cyrl-CS"/>
              </w:rPr>
              <w:t xml:space="preserve"> до 3.000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2.000 cm</w:t>
            </w:r>
            <w:r w:rsidRPr="00CB554C">
              <w:rPr>
                <w:rFonts w:ascii="Times New Roman" w:hAnsi="Times New Roman"/>
                <w:vertAlign w:val="superscript"/>
                <w:lang w:val="sr-Cyrl-CS"/>
              </w:rPr>
              <w:t>3</w:t>
            </w:r>
            <w:r w:rsidRPr="00CB554C">
              <w:rPr>
                <w:rFonts w:ascii="Times New Roman" w:hAnsi="Times New Roman"/>
                <w:lang w:val="sr-Cyrl-CS"/>
              </w:rPr>
              <w:t xml:space="preserve"> deri në 3.000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rPr>
              <w:t>4.</w:t>
            </w:r>
            <w:r w:rsidR="009C5F5D">
              <w:rPr>
                <w:rFonts w:ascii="Times New Roman" w:hAnsi="Times New Roman"/>
              </w:rPr>
              <w:t>97</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3.000 цм</w:t>
            </w:r>
            <w:r w:rsidRPr="00CB554C">
              <w:rPr>
                <w:rFonts w:ascii="Times New Roman" w:hAnsi="Times New Roman"/>
                <w:vertAlign w:val="superscript"/>
                <w:lang w:val="sr-Cyrl-CS"/>
              </w:rPr>
              <w:t>3</w:t>
            </w:r>
            <w:r w:rsidRPr="00CB554C">
              <w:rPr>
                <w:rFonts w:ascii="Times New Roman" w:hAnsi="Times New Roman"/>
                <w:lang w:val="sr-Cyrl-CS"/>
              </w:rPr>
              <w:t xml:space="preserve"> – mbi 3.000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Cyrl-CS"/>
              </w:rPr>
            </w:pPr>
            <w:r>
              <w:rPr>
                <w:rFonts w:ascii="Times New Roman" w:hAnsi="Times New Roman"/>
              </w:rPr>
              <w:t>8</w:t>
            </w:r>
            <w:r w:rsidR="0049202B" w:rsidRPr="00A355F6">
              <w:rPr>
                <w:rFonts w:ascii="Times New Roman" w:hAnsi="Times New Roman"/>
              </w:rPr>
              <w:t>.</w:t>
            </w:r>
            <w:r>
              <w:rPr>
                <w:rFonts w:ascii="Times New Roman" w:hAnsi="Times New Roman"/>
              </w:rPr>
              <w:t>17</w:t>
            </w:r>
            <w:r w:rsidR="0049202B" w:rsidRPr="00A355F6">
              <w:rPr>
                <w:rFonts w:ascii="Times New Roman" w:hAnsi="Times New Roman"/>
                <w:lang w:val="sr-Cyrl-CS"/>
              </w:rPr>
              <w:t>0,00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lastRenderedPageBreak/>
              <w:t>6.</w:t>
            </w: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 xml:space="preserve"> za motocikle – për motoçikleta:</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до 125 цм</w:t>
            </w:r>
            <w:r w:rsidRPr="00CB554C">
              <w:rPr>
                <w:rFonts w:ascii="Times New Roman" w:hAnsi="Times New Roman"/>
                <w:vertAlign w:val="superscript"/>
                <w:lang w:val="sr-Cyrl-CS"/>
              </w:rPr>
              <w:t>3</w:t>
            </w:r>
            <w:r w:rsidRPr="00CB554C">
              <w:rPr>
                <w:rFonts w:ascii="Times New Roman" w:hAnsi="Times New Roman"/>
                <w:lang w:val="sr-Cyrl-CS"/>
              </w:rPr>
              <w:t xml:space="preserve"> - deri në 125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Cyrl-CS"/>
              </w:rPr>
            </w:pPr>
            <w:r>
              <w:rPr>
                <w:rFonts w:ascii="Times New Roman" w:hAnsi="Times New Roman"/>
              </w:rPr>
              <w:t>66</w:t>
            </w:r>
            <w:r w:rsidR="004778C9"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125 цм</w:t>
            </w:r>
            <w:r w:rsidRPr="00CB554C">
              <w:rPr>
                <w:rFonts w:ascii="Times New Roman" w:hAnsi="Times New Roman"/>
                <w:vertAlign w:val="superscript"/>
                <w:lang w:val="sr-Cyrl-CS"/>
              </w:rPr>
              <w:t>3</w:t>
            </w:r>
            <w:r w:rsidRPr="00CB554C">
              <w:rPr>
                <w:rFonts w:ascii="Times New Roman" w:hAnsi="Times New Roman"/>
                <w:lang w:val="sr-Cyrl-CS"/>
              </w:rPr>
              <w:t xml:space="preserve"> до 250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125 cm</w:t>
            </w:r>
            <w:r w:rsidRPr="00CB554C">
              <w:rPr>
                <w:rFonts w:ascii="Times New Roman" w:hAnsi="Times New Roman"/>
                <w:vertAlign w:val="superscript"/>
                <w:lang w:val="sr-Cyrl-CS"/>
              </w:rPr>
              <w:t>3</w:t>
            </w:r>
            <w:r w:rsidRPr="00CB554C">
              <w:rPr>
                <w:rFonts w:ascii="Times New Roman" w:hAnsi="Times New Roman"/>
                <w:lang w:val="sr-Cyrl-CS"/>
              </w:rPr>
              <w:t xml:space="preserve"> deri në 250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9C5F5D" w:rsidP="00A57695">
            <w:pPr>
              <w:spacing w:after="0" w:line="240" w:lineRule="auto"/>
              <w:jc w:val="right"/>
              <w:rPr>
                <w:rFonts w:ascii="Times New Roman" w:hAnsi="Times New Roman"/>
                <w:lang w:val="sr-Cyrl-CS"/>
              </w:rPr>
            </w:pPr>
            <w:r>
              <w:rPr>
                <w:rFonts w:ascii="Times New Roman" w:hAnsi="Times New Roman"/>
              </w:rPr>
              <w:t>97</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250 цм</w:t>
            </w:r>
            <w:r w:rsidRPr="00CB554C">
              <w:rPr>
                <w:rFonts w:ascii="Times New Roman" w:hAnsi="Times New Roman"/>
                <w:vertAlign w:val="superscript"/>
                <w:lang w:val="sr-Cyrl-CS"/>
              </w:rPr>
              <w:t>3</w:t>
            </w:r>
            <w:r w:rsidRPr="00CB554C">
              <w:rPr>
                <w:rFonts w:ascii="Times New Roman" w:hAnsi="Times New Roman"/>
                <w:lang w:val="sr-Cyrl-CS"/>
              </w:rPr>
              <w:t xml:space="preserve"> до 500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250 cm</w:t>
            </w:r>
            <w:r w:rsidRPr="00CB554C">
              <w:rPr>
                <w:rFonts w:ascii="Times New Roman" w:hAnsi="Times New Roman"/>
                <w:vertAlign w:val="superscript"/>
                <w:lang w:val="sr-Cyrl-CS"/>
              </w:rPr>
              <w:t>3</w:t>
            </w:r>
            <w:r w:rsidRPr="00CB554C">
              <w:rPr>
                <w:rFonts w:ascii="Times New Roman" w:hAnsi="Times New Roman"/>
                <w:lang w:val="sr-Cyrl-CS"/>
              </w:rPr>
              <w:t xml:space="preserve"> deri në 500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lang w:val="sr-Cyrl-CS"/>
              </w:rPr>
              <w:t>1.</w:t>
            </w:r>
            <w:r w:rsidR="00C37303">
              <w:rPr>
                <w:rFonts w:ascii="Times New Roman" w:hAnsi="Times New Roman"/>
              </w:rPr>
              <w:t>62</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500 цм</w:t>
            </w:r>
            <w:r w:rsidRPr="00CB554C">
              <w:rPr>
                <w:rFonts w:ascii="Times New Roman" w:hAnsi="Times New Roman"/>
                <w:vertAlign w:val="superscript"/>
                <w:lang w:val="sr-Cyrl-CS"/>
              </w:rPr>
              <w:t>3</w:t>
            </w:r>
            <w:r w:rsidRPr="00CB554C">
              <w:rPr>
                <w:rFonts w:ascii="Times New Roman" w:hAnsi="Times New Roman"/>
                <w:lang w:val="sr-Cyrl-CS"/>
              </w:rPr>
              <w:t xml:space="preserve"> до 1.200 цм</w:t>
            </w:r>
            <w:r w:rsidRPr="00CB554C">
              <w:rPr>
                <w:rFonts w:ascii="Times New Roman" w:hAnsi="Times New Roman"/>
                <w:vertAlign w:val="superscript"/>
                <w:lang w:val="sr-Cyrl-CS"/>
              </w:rPr>
              <w:t>3</w:t>
            </w:r>
            <w:r w:rsidRPr="00CB554C">
              <w:rPr>
                <w:rFonts w:ascii="Times New Roman" w:hAnsi="Times New Roman"/>
                <w:lang w:val="sr-Cyrl-CS"/>
              </w:rPr>
              <w:t xml:space="preserve"> - </w:t>
            </w:r>
            <w:r w:rsidRPr="00CB554C">
              <w:rPr>
                <w:rFonts w:ascii="Times New Roman" w:hAnsi="Times New Roman"/>
                <w:lang w:val="sq-AL"/>
              </w:rPr>
              <w:t>mbi</w:t>
            </w:r>
            <w:r w:rsidRPr="00CB554C">
              <w:rPr>
                <w:rFonts w:ascii="Times New Roman" w:hAnsi="Times New Roman"/>
                <w:lang w:val="sr-Cyrl-CS"/>
              </w:rPr>
              <w:t xml:space="preserve">  500 cm</w:t>
            </w:r>
            <w:r w:rsidRPr="00CB554C">
              <w:rPr>
                <w:rFonts w:ascii="Times New Roman" w:hAnsi="Times New Roman"/>
                <w:vertAlign w:val="superscript"/>
                <w:lang w:val="sr-Cyrl-CS"/>
              </w:rPr>
              <w:t>3</w:t>
            </w:r>
            <w:r w:rsidRPr="00CB554C">
              <w:rPr>
                <w:rFonts w:ascii="Times New Roman" w:hAnsi="Times New Roman"/>
                <w:lang w:val="sr-Cyrl-CS"/>
              </w:rPr>
              <w:t xml:space="preserve"> deri në 1.200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lang w:val="sr-Cyrl-CS"/>
              </w:rPr>
              <w:t>1.</w:t>
            </w:r>
            <w:r w:rsidR="004778C9" w:rsidRPr="00A355F6">
              <w:rPr>
                <w:rFonts w:ascii="Times New Roman" w:hAnsi="Times New Roman"/>
              </w:rPr>
              <w:t>9</w:t>
            </w:r>
            <w:r w:rsidR="00C37303">
              <w:rPr>
                <w:rFonts w:ascii="Times New Roman" w:hAnsi="Times New Roman"/>
              </w:rPr>
              <w:t>9</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numPr>
                <w:ilvl w:val="0"/>
                <w:numId w:val="1"/>
              </w:numPr>
              <w:spacing w:after="0" w:line="240" w:lineRule="auto"/>
              <w:ind w:left="0" w:firstLine="0"/>
              <w:jc w:val="both"/>
              <w:rPr>
                <w:rFonts w:ascii="Times New Roman" w:hAnsi="Times New Roman"/>
                <w:lang w:val="sr-Cyrl-CS"/>
              </w:rPr>
            </w:pPr>
            <w:r w:rsidRPr="00CB554C">
              <w:rPr>
                <w:rFonts w:ascii="Times New Roman" w:hAnsi="Times New Roman"/>
                <w:lang w:val="sr-Cyrl-CS"/>
              </w:rPr>
              <w:t>преко 1200 цм</w:t>
            </w:r>
            <w:r w:rsidRPr="00CB554C">
              <w:rPr>
                <w:rFonts w:ascii="Times New Roman" w:hAnsi="Times New Roman"/>
                <w:vertAlign w:val="superscript"/>
                <w:lang w:val="sr-Cyrl-CS"/>
              </w:rPr>
              <w:t>3</w:t>
            </w:r>
            <w:r w:rsidRPr="00CB554C">
              <w:rPr>
                <w:rFonts w:ascii="Times New Roman" w:hAnsi="Times New Roman"/>
                <w:lang w:val="sr-Cyrl-CS"/>
              </w:rPr>
              <w:t xml:space="preserve"> - mbi 1.200 cm</w:t>
            </w:r>
            <w:r w:rsidRPr="00CB554C">
              <w:rPr>
                <w:rFonts w:ascii="Times New Roman" w:hAnsi="Times New Roman"/>
                <w:vertAlign w:val="superscript"/>
                <w:lang w:val="sr-Cyrl-CS"/>
              </w:rPr>
              <w:t>3</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rPr>
              <w:t>2.</w:t>
            </w:r>
            <w:r w:rsidR="00C37303">
              <w:rPr>
                <w:rFonts w:ascii="Times New Roman" w:hAnsi="Times New Roman"/>
              </w:rPr>
              <w:t>4</w:t>
            </w:r>
            <w:r w:rsidR="004778C9" w:rsidRPr="00A355F6">
              <w:rPr>
                <w:rFonts w:ascii="Times New Roman" w:hAnsi="Times New Roman"/>
              </w:rPr>
              <w:t>5</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7.</w:t>
            </w:r>
          </w:p>
        </w:tc>
        <w:tc>
          <w:tcPr>
            <w:tcW w:w="3837"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за вучна возила (тегљаче) – për automjete tërheqëse</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q-AL"/>
              </w:rPr>
            </w:pPr>
            <w:r w:rsidRPr="00CB554C">
              <w:rPr>
                <w:rFonts w:ascii="Times New Roman" w:hAnsi="Times New Roman"/>
                <w:lang w:val="sr-Cyrl-CS"/>
              </w:rPr>
              <w:t>-чија је снага мотора до 66 киловата – me fuqi mot</w:t>
            </w:r>
            <w:r w:rsidRPr="00CB554C">
              <w:rPr>
                <w:rFonts w:ascii="Times New Roman" w:hAnsi="Times New Roman"/>
                <w:lang w:val="sq-AL"/>
              </w:rPr>
              <w:t>o</w:t>
            </w:r>
            <w:r w:rsidRPr="00CB554C">
              <w:rPr>
                <w:rFonts w:ascii="Times New Roman" w:hAnsi="Times New Roman"/>
                <w:lang w:val="sr-Cyrl-CS"/>
              </w:rPr>
              <w:t>ri deri 66 k</w:t>
            </w:r>
            <w:r w:rsidRPr="00CB554C">
              <w:rPr>
                <w:rFonts w:ascii="Times New Roman" w:hAnsi="Times New Roman"/>
                <w:lang w:val="sq-AL"/>
              </w:rPr>
              <w:t>W</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rPr>
              <w:t>2.</w:t>
            </w:r>
            <w:r w:rsidR="00C37303">
              <w:rPr>
                <w:rFonts w:ascii="Times New Roman" w:hAnsi="Times New Roman"/>
              </w:rPr>
              <w:t>45</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jc w:val="both"/>
              <w:rPr>
                <w:rFonts w:ascii="Times New Roman" w:hAnsi="Times New Roman"/>
                <w:lang w:val="sq-AL"/>
              </w:rPr>
            </w:pPr>
            <w:r w:rsidRPr="00CB554C">
              <w:rPr>
                <w:rFonts w:ascii="Times New Roman" w:hAnsi="Times New Roman"/>
                <w:lang w:val="sr-Cyrl-CS"/>
              </w:rPr>
              <w:t>-чија је снага мотора од 66 – 96 киловата - me fuqi mot</w:t>
            </w:r>
            <w:r w:rsidRPr="00CB554C">
              <w:rPr>
                <w:rFonts w:ascii="Times New Roman" w:hAnsi="Times New Roman"/>
                <w:lang w:val="sq-AL"/>
              </w:rPr>
              <w:t>o</w:t>
            </w:r>
            <w:r w:rsidRPr="00CB554C">
              <w:rPr>
                <w:rFonts w:ascii="Times New Roman" w:hAnsi="Times New Roman"/>
                <w:lang w:val="sr-Cyrl-CS"/>
              </w:rPr>
              <w:t>ri prej 66 – 96k</w:t>
            </w:r>
            <w:r w:rsidRPr="00CB554C">
              <w:rPr>
                <w:rFonts w:ascii="Times New Roman" w:hAnsi="Times New Roman"/>
                <w:lang w:val="sq-AL"/>
              </w:rPr>
              <w:t>W</w:t>
            </w:r>
          </w:p>
        </w:tc>
        <w:tc>
          <w:tcPr>
            <w:tcW w:w="790" w:type="pct"/>
            <w:shd w:val="clear" w:color="auto" w:fill="auto"/>
            <w:vAlign w:val="center"/>
          </w:tcPr>
          <w:p w:rsidR="0049202B" w:rsidRPr="00A355F6" w:rsidRDefault="004778C9" w:rsidP="00A57695">
            <w:pPr>
              <w:spacing w:after="0" w:line="240" w:lineRule="auto"/>
              <w:jc w:val="right"/>
              <w:rPr>
                <w:rFonts w:ascii="Times New Roman" w:hAnsi="Times New Roman"/>
                <w:lang w:val="sr-Cyrl-CS"/>
              </w:rPr>
            </w:pPr>
            <w:r w:rsidRPr="00A355F6">
              <w:rPr>
                <w:rFonts w:ascii="Times New Roman" w:hAnsi="Times New Roman"/>
              </w:rPr>
              <w:t>3</w:t>
            </w:r>
            <w:r w:rsidR="0049202B" w:rsidRPr="00A355F6">
              <w:rPr>
                <w:rFonts w:ascii="Times New Roman" w:hAnsi="Times New Roman"/>
                <w:lang w:val="sr-Cyrl-CS"/>
              </w:rPr>
              <w:t>.</w:t>
            </w:r>
            <w:r w:rsidR="00C37303">
              <w:rPr>
                <w:rFonts w:ascii="Times New Roman" w:hAnsi="Times New Roman"/>
              </w:rPr>
              <w:t>28</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rPr>
                <w:rFonts w:ascii="Times New Roman" w:hAnsi="Times New Roman"/>
                <w:lang w:val="sq-AL"/>
              </w:rPr>
            </w:pPr>
            <w:r w:rsidRPr="00CB554C">
              <w:rPr>
                <w:rFonts w:ascii="Times New Roman" w:hAnsi="Times New Roman"/>
                <w:lang w:val="sr-Cyrl-CS"/>
              </w:rPr>
              <w:t>-чија је снага мотора од 96 – 132 киловата - me fuqi mot</w:t>
            </w:r>
            <w:r w:rsidRPr="00CB554C">
              <w:rPr>
                <w:rFonts w:ascii="Times New Roman" w:hAnsi="Times New Roman"/>
                <w:lang w:val="sq-AL"/>
              </w:rPr>
              <w:t>o</w:t>
            </w:r>
            <w:r w:rsidRPr="00CB554C">
              <w:rPr>
                <w:rFonts w:ascii="Times New Roman" w:hAnsi="Times New Roman"/>
                <w:lang w:val="sr-Cyrl-CS"/>
              </w:rPr>
              <w:t>ri prej 96 – 132k</w:t>
            </w:r>
          </w:p>
        </w:tc>
        <w:tc>
          <w:tcPr>
            <w:tcW w:w="790" w:type="pct"/>
            <w:shd w:val="clear" w:color="auto" w:fill="auto"/>
            <w:vAlign w:val="center"/>
          </w:tcPr>
          <w:p w:rsidR="0049202B" w:rsidRPr="00A355F6" w:rsidRDefault="00C37303" w:rsidP="00A57695">
            <w:pPr>
              <w:spacing w:after="0" w:line="240" w:lineRule="auto"/>
              <w:jc w:val="right"/>
              <w:rPr>
                <w:rFonts w:ascii="Times New Roman" w:hAnsi="Times New Roman"/>
                <w:lang w:val="sr-Cyrl-CS"/>
              </w:rPr>
            </w:pPr>
            <w:r>
              <w:rPr>
                <w:rFonts w:ascii="Times New Roman" w:hAnsi="Times New Roman"/>
              </w:rPr>
              <w:t>4.13</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rPr>
                <w:rFonts w:ascii="Times New Roman" w:hAnsi="Times New Roman"/>
                <w:lang w:val="sq-AL"/>
              </w:rPr>
            </w:pPr>
            <w:r w:rsidRPr="00CB554C">
              <w:rPr>
                <w:rFonts w:ascii="Times New Roman" w:hAnsi="Times New Roman"/>
                <w:lang w:val="sr-Cyrl-CS"/>
              </w:rPr>
              <w:t>-чија је снага мотора од 132</w:t>
            </w:r>
            <w:r w:rsidRPr="00CB554C">
              <w:rPr>
                <w:rFonts w:ascii="Times New Roman" w:hAnsi="Times New Roman"/>
                <w:lang w:val="sq-AL"/>
              </w:rPr>
              <w:t>-</w:t>
            </w:r>
            <w:r w:rsidRPr="00CB554C">
              <w:rPr>
                <w:rFonts w:ascii="Times New Roman" w:hAnsi="Times New Roman"/>
                <w:lang w:val="sr-Cyrl-CS"/>
              </w:rPr>
              <w:t>177 киловата-me fuqi mot</w:t>
            </w:r>
            <w:r w:rsidRPr="00CB554C">
              <w:rPr>
                <w:rFonts w:ascii="Times New Roman" w:hAnsi="Times New Roman"/>
                <w:lang w:val="sq-AL"/>
              </w:rPr>
              <w:t>o</w:t>
            </w:r>
            <w:r w:rsidRPr="00CB554C">
              <w:rPr>
                <w:rFonts w:ascii="Times New Roman" w:hAnsi="Times New Roman"/>
                <w:lang w:val="sr-Cyrl-CS"/>
              </w:rPr>
              <w:t>ri prej 132 – 177k</w:t>
            </w:r>
            <w:r w:rsidRPr="00CB554C">
              <w:rPr>
                <w:rFonts w:ascii="Times New Roman" w:hAnsi="Times New Roman"/>
                <w:lang w:val="sq-AL"/>
              </w:rPr>
              <w:t>W</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rPr>
              <w:t>4</w:t>
            </w:r>
            <w:r w:rsidRPr="00A355F6">
              <w:rPr>
                <w:rFonts w:ascii="Times New Roman" w:hAnsi="Times New Roman"/>
                <w:lang w:val="sr-Cyrl-CS"/>
              </w:rPr>
              <w:t>.</w:t>
            </w:r>
            <w:r w:rsidR="00C37303">
              <w:rPr>
                <w:rFonts w:ascii="Times New Roman" w:hAnsi="Times New Roman"/>
              </w:rPr>
              <w:t>94</w:t>
            </w:r>
            <w:r w:rsidRPr="00A355F6">
              <w:rPr>
                <w:rFonts w:ascii="Times New Roman" w:hAnsi="Times New Roman"/>
              </w:rPr>
              <w:t>0</w:t>
            </w:r>
            <w:r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p>
        </w:tc>
        <w:tc>
          <w:tcPr>
            <w:tcW w:w="3837" w:type="pct"/>
          </w:tcPr>
          <w:p w:rsidR="0049202B" w:rsidRPr="00CB554C" w:rsidRDefault="0049202B" w:rsidP="00A57695">
            <w:pPr>
              <w:spacing w:after="0" w:line="240" w:lineRule="auto"/>
              <w:rPr>
                <w:rFonts w:ascii="Times New Roman" w:hAnsi="Times New Roman"/>
                <w:lang w:val="sq-AL"/>
              </w:rPr>
            </w:pPr>
            <w:r w:rsidRPr="00CB554C">
              <w:rPr>
                <w:rFonts w:ascii="Times New Roman" w:hAnsi="Times New Roman"/>
                <w:lang w:val="sr-Cyrl-CS"/>
              </w:rPr>
              <w:t>-чија је снага мотора преко 177 киловата - me fuqi mot</w:t>
            </w:r>
            <w:r w:rsidRPr="00CB554C">
              <w:rPr>
                <w:rFonts w:ascii="Times New Roman" w:hAnsi="Times New Roman"/>
                <w:lang w:val="sq-AL"/>
              </w:rPr>
              <w:t>o</w:t>
            </w:r>
            <w:r w:rsidRPr="00CB554C">
              <w:rPr>
                <w:rFonts w:ascii="Times New Roman" w:hAnsi="Times New Roman"/>
                <w:lang w:val="sr-Cyrl-CS"/>
              </w:rPr>
              <w:t>ri mbi– 177k</w:t>
            </w:r>
            <w:r w:rsidRPr="00CB554C">
              <w:rPr>
                <w:rFonts w:ascii="Times New Roman" w:hAnsi="Times New Roman"/>
                <w:lang w:val="sq-AL"/>
              </w:rPr>
              <w:t>W</w:t>
            </w:r>
          </w:p>
        </w:tc>
        <w:tc>
          <w:tcPr>
            <w:tcW w:w="790" w:type="pct"/>
            <w:shd w:val="clear" w:color="auto" w:fill="auto"/>
            <w:vAlign w:val="center"/>
          </w:tcPr>
          <w:p w:rsidR="0049202B" w:rsidRPr="00A355F6" w:rsidRDefault="004778C9" w:rsidP="00A57695">
            <w:pPr>
              <w:spacing w:after="0" w:line="240" w:lineRule="auto"/>
              <w:jc w:val="right"/>
              <w:rPr>
                <w:rFonts w:ascii="Times New Roman" w:hAnsi="Times New Roman"/>
                <w:lang w:val="sr-Cyrl-CS"/>
              </w:rPr>
            </w:pPr>
            <w:r w:rsidRPr="00A355F6">
              <w:rPr>
                <w:rFonts w:ascii="Times New Roman" w:hAnsi="Times New Roman"/>
              </w:rPr>
              <w:t>6</w:t>
            </w:r>
            <w:r w:rsidR="0049202B" w:rsidRPr="00A355F6">
              <w:rPr>
                <w:rFonts w:ascii="Times New Roman" w:hAnsi="Times New Roman"/>
                <w:lang w:val="sr-Cyrl-CS"/>
              </w:rPr>
              <w:t>.</w:t>
            </w:r>
            <w:r w:rsidR="00C37303">
              <w:rPr>
                <w:rFonts w:ascii="Times New Roman" w:hAnsi="Times New Roman"/>
              </w:rPr>
              <w:t>56</w:t>
            </w:r>
            <w:r w:rsidR="0049202B" w:rsidRPr="00A355F6">
              <w:rPr>
                <w:rFonts w:ascii="Times New Roman" w:hAnsi="Times New Roman"/>
              </w:rPr>
              <w:t>0</w:t>
            </w:r>
            <w:r w:rsidR="0049202B" w:rsidRPr="00A355F6">
              <w:rPr>
                <w:rFonts w:ascii="Times New Roman" w:hAnsi="Times New Roman"/>
                <w:lang w:val="sr-Cyrl-CS"/>
              </w:rPr>
              <w:t>,00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8.</w:t>
            </w:r>
          </w:p>
        </w:tc>
        <w:tc>
          <w:tcPr>
            <w:tcW w:w="3837" w:type="pct"/>
          </w:tcPr>
          <w:p w:rsidR="0049202B" w:rsidRPr="00CB554C" w:rsidRDefault="0049202B" w:rsidP="00A57695">
            <w:pPr>
              <w:spacing w:after="0" w:line="240" w:lineRule="auto"/>
              <w:rPr>
                <w:rFonts w:ascii="Times New Roman" w:hAnsi="Times New Roman"/>
                <w:lang w:val="sr-Cyrl-CS"/>
              </w:rPr>
            </w:pPr>
            <w:r w:rsidRPr="00CB554C">
              <w:rPr>
                <w:rFonts w:ascii="Times New Roman" w:hAnsi="Times New Roman"/>
                <w:lang w:val="sr-Cyrl-CS"/>
              </w:rPr>
              <w:t>за радна возила, специјална адаптирана возила за превоз реквизита за путујуће забаве, радње и атестирана специјализована возила за превоз пчела</w:t>
            </w:r>
            <w:r w:rsidRPr="00CB554C">
              <w:rPr>
                <w:rFonts w:ascii="Times New Roman" w:hAnsi="Times New Roman"/>
                <w:lang w:val="sr-Cyrl-CS"/>
              </w:rPr>
              <w:br/>
              <w:t>për automjete punuese, automjete me adaptim special për transpotin e rekuizitave për argëtuesit endacak, punëtorit dhe automjetet speciale të atestuara për transportin e bletëve.</w:t>
            </w:r>
          </w:p>
        </w:tc>
        <w:tc>
          <w:tcPr>
            <w:tcW w:w="790" w:type="pct"/>
            <w:shd w:val="clear" w:color="auto" w:fill="auto"/>
            <w:vAlign w:val="center"/>
          </w:tcPr>
          <w:p w:rsidR="0049202B" w:rsidRPr="00A355F6" w:rsidRDefault="0049202B" w:rsidP="00A57695">
            <w:pPr>
              <w:spacing w:after="0" w:line="240" w:lineRule="auto"/>
              <w:jc w:val="right"/>
              <w:rPr>
                <w:rFonts w:ascii="Times New Roman" w:hAnsi="Times New Roman"/>
                <w:lang w:val="sr-Cyrl-CS"/>
              </w:rPr>
            </w:pPr>
            <w:r w:rsidRPr="00A355F6">
              <w:rPr>
                <w:rFonts w:ascii="Times New Roman" w:hAnsi="Times New Roman"/>
                <w:lang w:val="sr-Cyrl-CS"/>
              </w:rPr>
              <w:t>1.</w:t>
            </w:r>
            <w:r w:rsidR="00C37303">
              <w:rPr>
                <w:rFonts w:ascii="Times New Roman" w:hAnsi="Times New Roman"/>
              </w:rPr>
              <w:t>62</w:t>
            </w:r>
            <w:r w:rsidRPr="00A355F6">
              <w:rPr>
                <w:rFonts w:ascii="Times New Roman" w:hAnsi="Times New Roman"/>
              </w:rPr>
              <w:t>0</w:t>
            </w:r>
            <w:r w:rsidRPr="00A355F6">
              <w:rPr>
                <w:rFonts w:ascii="Times New Roman" w:hAnsi="Times New Roman"/>
                <w:lang w:val="sr-Cyrl-CS"/>
              </w:rPr>
              <w:t>,00</w:t>
            </w:r>
          </w:p>
        </w:tc>
      </w:tr>
    </w:tbl>
    <w:p w:rsidR="0049202B" w:rsidRPr="00CB554C" w:rsidRDefault="0049202B" w:rsidP="00A57695">
      <w:pPr>
        <w:pStyle w:val="BodyText"/>
        <w:rPr>
          <w:sz w:val="22"/>
          <w:szCs w:val="22"/>
          <w:lang w:val="sr-Cyrl-CS"/>
        </w:rPr>
      </w:pPr>
    </w:p>
    <w:p w:rsidR="0049202B" w:rsidRDefault="0049202B" w:rsidP="00A57695">
      <w:pPr>
        <w:pStyle w:val="BodyText"/>
        <w:ind w:firstLine="720"/>
        <w:jc w:val="both"/>
        <w:rPr>
          <w:sz w:val="22"/>
          <w:szCs w:val="22"/>
          <w:lang w:val="sq-AL"/>
        </w:rPr>
      </w:pPr>
      <w:r w:rsidRPr="00CB554C">
        <w:rPr>
          <w:sz w:val="22"/>
          <w:szCs w:val="22"/>
          <w:lang w:val="sr-Cyrl-CS"/>
        </w:rPr>
        <w:t>Највиши износи локалне комуналне таксе из става 1. овог члана усклађују се годишње, са годишњим индексом потрошачких цена, који објављује републички орган надлежан за послове статистике.</w:t>
      </w:r>
    </w:p>
    <w:p w:rsidR="0049202B" w:rsidRPr="00590DF7" w:rsidRDefault="0049202B" w:rsidP="00A57695">
      <w:pPr>
        <w:pStyle w:val="BodyText"/>
        <w:ind w:firstLine="720"/>
        <w:jc w:val="both"/>
        <w:rPr>
          <w:sz w:val="22"/>
          <w:szCs w:val="22"/>
          <w:lang w:val="sq-AL"/>
        </w:rPr>
      </w:pPr>
    </w:p>
    <w:p w:rsidR="0049202B" w:rsidRPr="00CB554C" w:rsidRDefault="0049202B" w:rsidP="00A57695">
      <w:pPr>
        <w:pStyle w:val="BodyText"/>
        <w:ind w:firstLine="720"/>
        <w:jc w:val="both"/>
        <w:rPr>
          <w:sz w:val="22"/>
          <w:szCs w:val="22"/>
          <w:lang w:val="sr-Cyrl-CS"/>
        </w:rPr>
      </w:pPr>
      <w:r w:rsidRPr="00CB554C">
        <w:rPr>
          <w:sz w:val="22"/>
          <w:szCs w:val="22"/>
          <w:lang w:val="sr-Cyrl-CS"/>
        </w:rPr>
        <w:t>Shuma më e lartë e taksës lokale komunale nga alinea 1. të këtij neni harmonizohet në nivel vjetor, me indeksin vjetor të çmimeve konsumatore, të cilin e bëjnë organet republikane kompetente për punët statistikore.</w:t>
      </w:r>
    </w:p>
    <w:p w:rsidR="0049202B" w:rsidRPr="00CB554C" w:rsidRDefault="0049202B" w:rsidP="00A57695">
      <w:pPr>
        <w:pStyle w:val="BodyText"/>
        <w:jc w:val="both"/>
        <w:rPr>
          <w:sz w:val="22"/>
          <w:szCs w:val="22"/>
          <w:lang w:val="sr-Cyrl-CS"/>
        </w:rPr>
      </w:pPr>
    </w:p>
    <w:p w:rsidR="0049202B" w:rsidRPr="00CB554C" w:rsidRDefault="0049202B" w:rsidP="00A57695">
      <w:pPr>
        <w:pStyle w:val="BodyTextIndent"/>
        <w:ind w:firstLine="0"/>
        <w:rPr>
          <w:rFonts w:ascii="Times New Roman" w:hAnsi="Times New Roman"/>
          <w:sz w:val="22"/>
          <w:szCs w:val="22"/>
          <w:lang w:val="sr-Cyrl-CS"/>
        </w:rPr>
      </w:pPr>
      <w:r w:rsidRPr="00CB554C">
        <w:rPr>
          <w:rFonts w:ascii="Times New Roman" w:hAnsi="Times New Roman"/>
          <w:b/>
          <w:bCs/>
          <w:sz w:val="22"/>
          <w:szCs w:val="22"/>
          <w:lang w:val="sr-Cyrl-CS"/>
        </w:rPr>
        <w:t>Напомена</w:t>
      </w:r>
      <w:r w:rsidRPr="00CB554C">
        <w:rPr>
          <w:rFonts w:ascii="Times New Roman" w:hAnsi="Times New Roman"/>
          <w:sz w:val="22"/>
          <w:szCs w:val="22"/>
          <w:lang w:val="sr-Cyrl-CS"/>
        </w:rPr>
        <w:t>: Комунална такса по овом тарифном броју плаћа се приликом регистрације возила.</w:t>
      </w:r>
    </w:p>
    <w:p w:rsidR="0049202B" w:rsidRPr="00CB554C" w:rsidRDefault="0049202B" w:rsidP="00A57695">
      <w:pPr>
        <w:pStyle w:val="BodyTextIndent"/>
        <w:ind w:firstLine="0"/>
        <w:rPr>
          <w:rFonts w:ascii="Times New Roman" w:hAnsi="Times New Roman"/>
          <w:sz w:val="22"/>
          <w:szCs w:val="22"/>
          <w:lang w:val="sr-Cyrl-CS"/>
        </w:rPr>
      </w:pPr>
      <w:r w:rsidRPr="00CB554C">
        <w:rPr>
          <w:rFonts w:ascii="Times New Roman" w:hAnsi="Times New Roman"/>
          <w:b/>
          <w:bCs/>
          <w:sz w:val="22"/>
          <w:szCs w:val="22"/>
          <w:lang w:val="sr-Cyrl-CS"/>
        </w:rPr>
        <w:t>Vërejtje</w:t>
      </w:r>
      <w:r w:rsidRPr="00CB554C">
        <w:rPr>
          <w:rFonts w:ascii="Times New Roman" w:hAnsi="Times New Roman"/>
          <w:sz w:val="22"/>
          <w:szCs w:val="22"/>
          <w:lang w:val="sr-Cyrl-CS"/>
        </w:rPr>
        <w:t>: Taksa komunale sipas këtij numri tarifor paguhet me rastin e regjistrimit të automjetit.</w:t>
      </w:r>
    </w:p>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Орган који региструје возила или приколице не може их регистровати док не наплати комуналну таксу по овом тарифном броју.</w:t>
      </w:r>
    </w:p>
    <w:p w:rsidR="0049202B" w:rsidRPr="00CB554C" w:rsidRDefault="0049202B" w:rsidP="00A57695">
      <w:pPr>
        <w:spacing w:after="0" w:line="240" w:lineRule="auto"/>
        <w:ind w:firstLine="720"/>
        <w:jc w:val="both"/>
        <w:rPr>
          <w:rFonts w:ascii="Times New Roman" w:hAnsi="Times New Roman"/>
          <w:lang w:val="sr-Cyrl-CS"/>
        </w:rPr>
      </w:pPr>
      <w:r w:rsidRPr="00CB554C">
        <w:rPr>
          <w:rFonts w:ascii="Times New Roman" w:hAnsi="Times New Roman"/>
          <w:lang w:val="sr-Cyrl-CS"/>
        </w:rPr>
        <w:t>Organi i cili bënë regjistrimin e automjeteve apo të rimorkiove nuk mundë të bëjë regjistrimin para pagesës së kësaj takse sipas këtij numri tarifor.</w:t>
      </w:r>
    </w:p>
    <w:p w:rsidR="0049202B" w:rsidRPr="00CB554C" w:rsidRDefault="0049202B" w:rsidP="00A57695">
      <w:pPr>
        <w:spacing w:after="0" w:line="240" w:lineRule="auto"/>
        <w:ind w:firstLine="720"/>
        <w:jc w:val="both"/>
        <w:rPr>
          <w:rFonts w:ascii="Times New Roman" w:hAnsi="Times New Roman"/>
        </w:rPr>
      </w:pP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t>Локалну комуналну таксу из овог тарифног броја не плаћају:</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t xml:space="preserve">Taksën lokale komunale nga </w:t>
      </w:r>
      <w:proofErr w:type="gramStart"/>
      <w:r w:rsidRPr="00CB554C">
        <w:rPr>
          <w:rFonts w:ascii="Times New Roman" w:hAnsi="Times New Roman"/>
        </w:rPr>
        <w:t>ky</w:t>
      </w:r>
      <w:proofErr w:type="gramEnd"/>
      <w:r w:rsidRPr="00CB554C">
        <w:rPr>
          <w:rFonts w:ascii="Times New Roman" w:hAnsi="Times New Roman"/>
        </w:rPr>
        <w:t xml:space="preserve"> numër tarifor nuk e paguajnë:</w:t>
      </w:r>
    </w:p>
    <w:p w:rsidR="0049202B" w:rsidRPr="00CB554C" w:rsidRDefault="0049202B" w:rsidP="00A57695">
      <w:pPr>
        <w:spacing w:after="0" w:line="240" w:lineRule="auto"/>
        <w:ind w:firstLine="720"/>
        <w:jc w:val="both"/>
        <w:rPr>
          <w:rFonts w:ascii="Times New Roman" w:hAnsi="Times New Roman"/>
        </w:rPr>
      </w:pPr>
    </w:p>
    <w:p w:rsidR="0049202B" w:rsidRPr="00CB554C" w:rsidRDefault="0049202B" w:rsidP="00A57695">
      <w:pPr>
        <w:spacing w:after="0" w:line="240" w:lineRule="auto"/>
        <w:ind w:firstLine="709"/>
        <w:jc w:val="both"/>
        <w:rPr>
          <w:rFonts w:ascii="Times New Roman" w:hAnsi="Times New Roman"/>
        </w:rPr>
      </w:pPr>
      <w:r w:rsidRPr="00CB554C">
        <w:rPr>
          <w:rFonts w:ascii="Times New Roman" w:hAnsi="Times New Roman"/>
        </w:rPr>
        <w:t xml:space="preserve">- </w:t>
      </w:r>
      <w:proofErr w:type="gramStart"/>
      <w:r w:rsidRPr="00CB554C">
        <w:rPr>
          <w:rFonts w:ascii="Times New Roman" w:hAnsi="Times New Roman"/>
        </w:rPr>
        <w:t>особа</w:t>
      </w:r>
      <w:proofErr w:type="gramEnd"/>
      <w:r w:rsidRPr="00CB554C">
        <w:rPr>
          <w:rFonts w:ascii="Times New Roman" w:hAnsi="Times New Roman"/>
        </w:rPr>
        <w:t xml:space="preserve"> са инвалидитетом са 80 или више процената телесног оштећења, на једно возило које се на њено име прво региструје у једној календарској години, уз доказе о испуњењу прописаних услова;</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t>- oсоба са инвалидитетом код којих постоји телесно оштећење које има за последицу неспособност доњих екстремитета ногу од 60 или више процената, на једно возило које се на њено име прво региструје у једној календарској години, уз доказе о испуњењу прописаних услова;</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t xml:space="preserve">-  </w:t>
      </w:r>
      <w:proofErr w:type="gramStart"/>
      <w:r w:rsidRPr="00CB554C">
        <w:rPr>
          <w:rFonts w:ascii="Times New Roman" w:hAnsi="Times New Roman"/>
        </w:rPr>
        <w:t>personi</w:t>
      </w:r>
      <w:proofErr w:type="gramEnd"/>
      <w:r w:rsidRPr="00CB554C">
        <w:rPr>
          <w:rFonts w:ascii="Times New Roman" w:hAnsi="Times New Roman"/>
        </w:rPr>
        <w:t xml:space="preserve"> me invalidi9tet te I cili ka dëmtim trupor që ka për pasojë paaftësinë e gjymtyrëve të poshtme të këmbëve nga 60 e më shumë pëqind, në një veturë që regjistrohet për here të pare në emër të tij në një vit kalendarik, krahas dëshmive mbi përmbushjen e kushteve të parapara;</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t xml:space="preserve">- </w:t>
      </w:r>
      <w:proofErr w:type="gramStart"/>
      <w:r w:rsidRPr="00CB554C">
        <w:rPr>
          <w:rFonts w:ascii="Times New Roman" w:hAnsi="Times New Roman"/>
        </w:rPr>
        <w:t>законски</w:t>
      </w:r>
      <w:proofErr w:type="gramEnd"/>
      <w:r w:rsidRPr="00CB554C">
        <w:rPr>
          <w:rFonts w:ascii="Times New Roman" w:hAnsi="Times New Roman"/>
        </w:rPr>
        <w:t xml:space="preserve"> заступници вишеструко ометене деце која су у отвореној заштити, односно о којима родитељи непосредно брину - на једно возило које се на њихово име, односно име једног од њих, прво региструје у једној календарској години, уз доказе о испуњењу прописаних услова;</w:t>
      </w:r>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rPr>
        <w:lastRenderedPageBreak/>
        <w:t xml:space="preserve">- </w:t>
      </w:r>
      <w:proofErr w:type="gramStart"/>
      <w:r w:rsidRPr="00CB554C">
        <w:rPr>
          <w:rFonts w:ascii="Times New Roman" w:hAnsi="Times New Roman"/>
        </w:rPr>
        <w:t>përfaqësuesi</w:t>
      </w:r>
      <w:proofErr w:type="gramEnd"/>
      <w:r w:rsidRPr="00CB554C">
        <w:rPr>
          <w:rFonts w:ascii="Times New Roman" w:hAnsi="Times New Roman"/>
        </w:rPr>
        <w:t xml:space="preserve"> ligjor i fëmiut me pengesa të shumëfishta që janë në mbrojtje të hapur, përkatësisht për të cilët drejtëspërsëdrejti kujdesen prindërit – në një veturë e cila në emërin e tyre, ose në emër të njërit prej tyre regjistrohet për here të pare në vitin kalendarik, krahas dëshmive mbi përmbushjen e kushteve të parapara;</w:t>
      </w:r>
    </w:p>
    <w:p w:rsidR="0049202B" w:rsidRPr="00CB554C" w:rsidRDefault="0049202B" w:rsidP="00A57695">
      <w:pPr>
        <w:spacing w:after="0" w:line="240" w:lineRule="auto"/>
        <w:ind w:firstLine="720"/>
        <w:jc w:val="both"/>
        <w:rPr>
          <w:rFonts w:ascii="Times New Roman" w:hAnsi="Times New Roman"/>
          <w:lang w:val="sq-AL"/>
        </w:rPr>
      </w:pPr>
      <w:r w:rsidRPr="00CB554C">
        <w:rPr>
          <w:rFonts w:ascii="Times New Roman" w:hAnsi="Times New Roman"/>
        </w:rPr>
        <w:t xml:space="preserve">- </w:t>
      </w:r>
      <w:proofErr w:type="gramStart"/>
      <w:r w:rsidRPr="00CB554C">
        <w:rPr>
          <w:rFonts w:ascii="Times New Roman" w:hAnsi="Times New Roman"/>
          <w:lang w:val="sr-Cyrl-CS"/>
        </w:rPr>
        <w:t>за</w:t>
      </w:r>
      <w:proofErr w:type="gramEnd"/>
      <w:r w:rsidRPr="00CB554C">
        <w:rPr>
          <w:rFonts w:ascii="Times New Roman" w:hAnsi="Times New Roman"/>
          <w:lang w:val="sr-Cyrl-CS"/>
        </w:rPr>
        <w:t xml:space="preserve"> возила В</w:t>
      </w:r>
      <w:r w:rsidRPr="00CB554C">
        <w:rPr>
          <w:rFonts w:ascii="Times New Roman" w:hAnsi="Times New Roman"/>
        </w:rPr>
        <w:t>С</w:t>
      </w:r>
      <w:r w:rsidRPr="00CB554C">
        <w:rPr>
          <w:rFonts w:ascii="Times New Roman" w:hAnsi="Times New Roman"/>
          <w:lang w:val="sr-Cyrl-CS"/>
        </w:rPr>
        <w:t xml:space="preserve">, МУП-а која служе за вршење редовне делатности, санитетска возила,  возила за градску чистоћу, водовода и канализације и ватрогасна возила. </w:t>
      </w:r>
    </w:p>
    <w:p w:rsidR="0049202B" w:rsidRPr="00590DF7" w:rsidRDefault="0049202B" w:rsidP="00A57695">
      <w:pPr>
        <w:spacing w:after="0" w:line="240" w:lineRule="auto"/>
        <w:ind w:firstLine="720"/>
        <w:jc w:val="both"/>
        <w:rPr>
          <w:rFonts w:ascii="Times New Roman" w:hAnsi="Times New Roman"/>
          <w:lang w:val="sq-AL"/>
        </w:rPr>
      </w:pPr>
      <w:r w:rsidRPr="00CB554C">
        <w:rPr>
          <w:rFonts w:ascii="Times New Roman" w:hAnsi="Times New Roman"/>
          <w:lang w:val="sq-AL"/>
        </w:rPr>
        <w:t>- për automjetet e US, MPB-ës të cilat shërbejnë për ushtrimine  veprimtarive të rregullta, automjetet sanitare, automjetet për pastrimin e qytetit, ujësjellës, kanalizim si dh</w:t>
      </w:r>
      <w:r>
        <w:rPr>
          <w:rFonts w:ascii="Times New Roman" w:hAnsi="Times New Roman"/>
          <w:lang w:val="sq-AL"/>
        </w:rPr>
        <w:t>e për automjete për zjarrfikës.</w:t>
      </w:r>
    </w:p>
    <w:p w:rsidR="0049202B" w:rsidRPr="00CB554C" w:rsidRDefault="0049202B" w:rsidP="00A57695">
      <w:pPr>
        <w:spacing w:after="0" w:line="240" w:lineRule="auto"/>
        <w:ind w:firstLine="720"/>
        <w:jc w:val="both"/>
        <w:rPr>
          <w:rFonts w:ascii="Times New Roman" w:hAnsi="Times New Roman"/>
        </w:rPr>
      </w:pPr>
      <w:proofErr w:type="gramStart"/>
      <w:r w:rsidRPr="00CB554C">
        <w:rPr>
          <w:rFonts w:ascii="Times New Roman" w:hAnsi="Times New Roman"/>
        </w:rPr>
        <w:t>Доказе о испуњењу прописаних услова за остваривање права издају надлежни органи, за годину у којој се врши регистрација.</w:t>
      </w:r>
      <w:proofErr w:type="gramEnd"/>
    </w:p>
    <w:p w:rsidR="0049202B" w:rsidRPr="00CB554C" w:rsidRDefault="0049202B" w:rsidP="00A57695">
      <w:pPr>
        <w:spacing w:after="0" w:line="240" w:lineRule="auto"/>
        <w:ind w:firstLine="720"/>
        <w:jc w:val="both"/>
        <w:rPr>
          <w:rFonts w:ascii="Times New Roman" w:hAnsi="Times New Roman"/>
        </w:rPr>
      </w:pPr>
      <w:proofErr w:type="gramStart"/>
      <w:r w:rsidRPr="00CB554C">
        <w:rPr>
          <w:rFonts w:ascii="Times New Roman" w:hAnsi="Times New Roman"/>
        </w:rPr>
        <w:t>Dëshmitë mbi përmbushjen e kushteve të parapara për realizimin e të drejtës I lëshojnë organet kompetente, për vitin</w:t>
      </w:r>
      <w:r>
        <w:rPr>
          <w:rFonts w:ascii="Times New Roman" w:hAnsi="Times New Roman"/>
        </w:rPr>
        <w:t xml:space="preserve"> në të cilin bëhet regjistrimi.</w:t>
      </w:r>
      <w:proofErr w:type="gramEnd"/>
    </w:p>
    <w:p w:rsidR="0049202B" w:rsidRPr="00CB554C" w:rsidRDefault="0049202B" w:rsidP="00A57695">
      <w:pPr>
        <w:spacing w:after="0" w:line="240" w:lineRule="auto"/>
        <w:ind w:firstLine="720"/>
        <w:jc w:val="both"/>
        <w:rPr>
          <w:rFonts w:ascii="Times New Roman" w:hAnsi="Times New Roman"/>
        </w:rPr>
      </w:pPr>
      <w:proofErr w:type="gramStart"/>
      <w:r w:rsidRPr="00CB554C">
        <w:rPr>
          <w:rFonts w:ascii="Times New Roman" w:hAnsi="Times New Roman"/>
        </w:rPr>
        <w:t xml:space="preserve">Ако физичко лице по више основа имa право на </w:t>
      </w:r>
      <w:r w:rsidRPr="00CB554C">
        <w:rPr>
          <w:rFonts w:ascii="Times New Roman" w:hAnsi="Times New Roman"/>
          <w:lang w:val="sr-Cyrl-CS"/>
        </w:rPr>
        <w:t>ослобођење</w:t>
      </w:r>
      <w:r w:rsidRPr="00CB554C">
        <w:rPr>
          <w:rFonts w:ascii="Times New Roman" w:hAnsi="Times New Roman"/>
        </w:rPr>
        <w:t>, то право остварује на једно путничко возило које се на име тог лица, уз доказе о испуњењу услова, прво региструје у једној календарској години.</w:t>
      </w:r>
      <w:proofErr w:type="gramEnd"/>
    </w:p>
    <w:p w:rsidR="0049202B" w:rsidRDefault="0049202B" w:rsidP="00A57695">
      <w:pPr>
        <w:spacing w:after="0" w:line="240" w:lineRule="auto"/>
        <w:ind w:firstLine="720"/>
        <w:jc w:val="both"/>
        <w:rPr>
          <w:rFonts w:ascii="Times New Roman" w:hAnsi="Times New Roman"/>
        </w:rPr>
      </w:pPr>
      <w:r w:rsidRPr="00CB554C">
        <w:rPr>
          <w:rFonts w:ascii="Times New Roman" w:hAnsi="Times New Roman"/>
        </w:rPr>
        <w:t>Nëse personi fizik ka të drejtën e lirimit nga taksa mbi më shumë baza, këtë të drejtë e realizon në një veturë udhëtarësh e cila në emër të atij personi, krahas dëshmive për plotësimin e kushteve, e regjistron për here të pare në atë vit kalendarik.</w:t>
      </w:r>
    </w:p>
    <w:p w:rsidR="008D0B5B" w:rsidRDefault="008D0B5B" w:rsidP="00A57695">
      <w:pPr>
        <w:spacing w:after="0" w:line="240" w:lineRule="auto"/>
        <w:ind w:firstLine="720"/>
        <w:jc w:val="both"/>
        <w:rPr>
          <w:rFonts w:ascii="Times New Roman" w:hAnsi="Times New Roman"/>
        </w:rPr>
      </w:pPr>
    </w:p>
    <w:p w:rsidR="00AA6A28" w:rsidRPr="00CB554C" w:rsidRDefault="00AA6A28" w:rsidP="00A57695">
      <w:pPr>
        <w:spacing w:after="0" w:line="240" w:lineRule="auto"/>
        <w:ind w:firstLine="720"/>
        <w:jc w:val="both"/>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1"/>
        <w:gridCol w:w="2474"/>
        <w:gridCol w:w="3191"/>
      </w:tblGrid>
      <w:tr w:rsidR="0049202B" w:rsidRPr="00CB554C" w:rsidTr="00E11D73">
        <w:trPr>
          <w:jc w:val="center"/>
        </w:trPr>
        <w:tc>
          <w:tcPr>
            <w:tcW w:w="2042" w:type="pct"/>
            <w:vAlign w:val="center"/>
          </w:tcPr>
          <w:p w:rsidR="0049202B" w:rsidRPr="00CB554C" w:rsidRDefault="0049202B" w:rsidP="00A57695">
            <w:pPr>
              <w:spacing w:after="0" w:line="240" w:lineRule="auto"/>
              <w:jc w:val="center"/>
              <w:rPr>
                <w:rFonts w:ascii="Times New Roman" w:hAnsi="Times New Roman"/>
                <w:lang w:val="sq-AL"/>
              </w:rPr>
            </w:pPr>
            <w:r w:rsidRPr="00CB554C">
              <w:rPr>
                <w:rFonts w:ascii="Times New Roman" w:hAnsi="Times New Roman"/>
                <w:lang w:val="sq-AL"/>
              </w:rPr>
              <w:t>Уплатни рачун</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Llogaria e pagesës</w:t>
            </w:r>
          </w:p>
        </w:tc>
        <w:tc>
          <w:tcPr>
            <w:tcW w:w="1292"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Број уплатног рачуна</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Numri llogariaris pagesës</w:t>
            </w:r>
          </w:p>
        </w:tc>
        <w:tc>
          <w:tcPr>
            <w:tcW w:w="1667"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Позив на број одобрења</w:t>
            </w:r>
          </w:p>
          <w:p w:rsidR="0049202B" w:rsidRPr="00CB554C" w:rsidRDefault="0049202B" w:rsidP="00A57695">
            <w:pPr>
              <w:spacing w:after="0" w:line="240" w:lineRule="auto"/>
              <w:jc w:val="center"/>
              <w:rPr>
                <w:rFonts w:ascii="Times New Roman" w:hAnsi="Times New Roman"/>
                <w:lang w:val="sr-Latn-CS"/>
              </w:rPr>
            </w:pPr>
            <w:r w:rsidRPr="00CB554C">
              <w:rPr>
                <w:rStyle w:val="shorttext"/>
                <w:rFonts w:ascii="Times New Roman" w:hAnsi="Times New Roman"/>
                <w:lang w:val="sq-AL"/>
              </w:rPr>
              <w:t>Thirrja për numrin e miratimit</w:t>
            </w:r>
          </w:p>
        </w:tc>
      </w:tr>
      <w:tr w:rsidR="0049202B" w:rsidRPr="00CB554C" w:rsidTr="00E11D73">
        <w:trPr>
          <w:jc w:val="center"/>
        </w:trPr>
        <w:tc>
          <w:tcPr>
            <w:tcW w:w="2042" w:type="pct"/>
          </w:tcPr>
          <w:p w:rsidR="0049202B" w:rsidRPr="00CB554C" w:rsidRDefault="0049202B" w:rsidP="00A57695">
            <w:pPr>
              <w:spacing w:after="0" w:line="240" w:lineRule="auto"/>
              <w:jc w:val="both"/>
              <w:rPr>
                <w:rFonts w:ascii="Times New Roman" w:hAnsi="Times New Roman"/>
                <w:lang w:val="sr-Cyrl-CS"/>
              </w:rPr>
            </w:pPr>
            <w:r w:rsidRPr="00CB554C">
              <w:rPr>
                <w:rFonts w:ascii="Times New Roman" w:hAnsi="Times New Roman"/>
                <w:lang w:val="sr-Cyrl-CS"/>
              </w:rPr>
              <w:t>Комунална такса за држање моторних друмских и прикључних возила, осим пољопривредних возила и машина</w:t>
            </w:r>
          </w:p>
          <w:p w:rsidR="0049202B" w:rsidRPr="00CB554C" w:rsidRDefault="0049202B" w:rsidP="00A57695">
            <w:pPr>
              <w:spacing w:after="0" w:line="240" w:lineRule="auto"/>
              <w:jc w:val="both"/>
              <w:rPr>
                <w:rFonts w:ascii="Times New Roman" w:hAnsi="Times New Roman"/>
                <w:lang w:val="sq-AL"/>
              </w:rPr>
            </w:pPr>
            <w:r w:rsidRPr="00CB554C">
              <w:rPr>
                <w:rFonts w:ascii="Times New Roman" w:hAnsi="Times New Roman"/>
                <w:lang w:val="sr-Cyrl-CS"/>
              </w:rPr>
              <w:t>Taksa komunale</w:t>
            </w:r>
            <w:r w:rsidRPr="00CB554C">
              <w:rPr>
                <w:rFonts w:ascii="Times New Roman" w:hAnsi="Times New Roman"/>
                <w:lang w:val="sq-AL"/>
              </w:rPr>
              <w:t xml:space="preserve"> për mbajtjen e automjeteve rrugore dhe tërheqëse, përveç automjeteve dhe makinave bujqësore</w:t>
            </w:r>
          </w:p>
        </w:tc>
        <w:tc>
          <w:tcPr>
            <w:tcW w:w="1292"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840-714513843-04</w:t>
            </w:r>
          </w:p>
        </w:tc>
        <w:tc>
          <w:tcPr>
            <w:tcW w:w="1667"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 xml:space="preserve">97 </w:t>
            </w:r>
            <w:r w:rsidR="00EA64B2">
              <w:rPr>
                <w:rFonts w:ascii="Times New Roman" w:hAnsi="Times New Roman"/>
                <w:lang w:val="sr-Latn-CS"/>
              </w:rPr>
              <w:t>47</w:t>
            </w:r>
            <w:r w:rsidRPr="00CB554C">
              <w:rPr>
                <w:rFonts w:ascii="Times New Roman" w:hAnsi="Times New Roman"/>
                <w:lang w:val="sr-Latn-CS"/>
              </w:rPr>
              <w:t>-030</w:t>
            </w:r>
            <w:r w:rsidR="0055623B">
              <w:rPr>
                <w:rFonts w:ascii="Times New Roman" w:hAnsi="Times New Roman"/>
                <w:lang w:val="sr-Latn-CS"/>
              </w:rPr>
              <w:t>-</w:t>
            </w:r>
            <w:r w:rsidR="00EA64B2">
              <w:rPr>
                <w:rFonts w:ascii="Times New Roman" w:hAnsi="Times New Roman"/>
                <w:lang w:val="sr-Latn-CS"/>
              </w:rPr>
              <w:t>04689</w:t>
            </w:r>
          </w:p>
        </w:tc>
      </w:tr>
    </w:tbl>
    <w:p w:rsidR="0049202B" w:rsidRPr="00CB554C" w:rsidRDefault="0049202B" w:rsidP="00A57695">
      <w:pPr>
        <w:spacing w:after="0" w:line="240" w:lineRule="auto"/>
        <w:jc w:val="both"/>
        <w:rPr>
          <w:rFonts w:ascii="Times New Roman" w:hAnsi="Times New Roman"/>
          <w:lang w:val="sr-Cyrl-CS"/>
        </w:rPr>
      </w:pPr>
    </w:p>
    <w:p w:rsidR="0049202B" w:rsidRPr="00CB554C" w:rsidRDefault="0049202B" w:rsidP="00A57695">
      <w:pPr>
        <w:pStyle w:val="Heading5"/>
        <w:rPr>
          <w:rFonts w:ascii="Times New Roman" w:hAnsi="Times New Roman"/>
          <w:sz w:val="22"/>
          <w:szCs w:val="22"/>
          <w:lang w:val="sr-Cyrl-CS"/>
        </w:rPr>
      </w:pPr>
      <w:r w:rsidRPr="00CB554C">
        <w:rPr>
          <w:rFonts w:ascii="Times New Roman" w:hAnsi="Times New Roman"/>
          <w:sz w:val="22"/>
          <w:szCs w:val="22"/>
          <w:lang w:val="sr-Cyrl-CS"/>
        </w:rPr>
        <w:t>Тарифни број – Numri tarifor</w:t>
      </w:r>
      <w:r w:rsidRPr="00CB554C">
        <w:rPr>
          <w:rFonts w:ascii="Times New Roman" w:hAnsi="Times New Roman"/>
          <w:bCs w:val="0"/>
          <w:sz w:val="22"/>
          <w:szCs w:val="22"/>
          <w:lang w:val="sr-Cyrl-CS"/>
        </w:rPr>
        <w:t>3</w:t>
      </w:r>
      <w:r w:rsidRPr="00CB554C">
        <w:rPr>
          <w:rFonts w:ascii="Times New Roman" w:hAnsi="Times New Roman"/>
          <w:sz w:val="22"/>
          <w:szCs w:val="22"/>
          <w:lang w:val="sr-Cyrl-CS"/>
        </w:rPr>
        <w:t>.</w:t>
      </w:r>
    </w:p>
    <w:p w:rsidR="0049202B" w:rsidRPr="00CB554C" w:rsidRDefault="0049202B" w:rsidP="00A57695">
      <w:pPr>
        <w:pStyle w:val="BodyTextIndent"/>
        <w:ind w:firstLine="720"/>
        <w:rPr>
          <w:rFonts w:ascii="Times New Roman" w:hAnsi="Times New Roman"/>
          <w:sz w:val="22"/>
          <w:szCs w:val="22"/>
        </w:rPr>
      </w:pPr>
      <w:r w:rsidRPr="00CB554C">
        <w:rPr>
          <w:rFonts w:ascii="Times New Roman" w:hAnsi="Times New Roman"/>
          <w:sz w:val="22"/>
          <w:szCs w:val="22"/>
          <w:lang w:val="en-US"/>
        </w:rPr>
        <w:t>За држање средстава за игру (“забавне игре”) утврђује се такса дневно по апарату за забавне игре у износу од</w:t>
      </w:r>
      <w:r w:rsidRPr="00CB554C">
        <w:rPr>
          <w:rFonts w:ascii="Times New Roman" w:hAnsi="Times New Roman"/>
          <w:sz w:val="22"/>
          <w:szCs w:val="22"/>
        </w:rPr>
        <w:t>:</w:t>
      </w:r>
    </w:p>
    <w:p w:rsidR="0049202B" w:rsidRPr="00CB554C" w:rsidRDefault="0049202B" w:rsidP="00A57695">
      <w:pPr>
        <w:pStyle w:val="BodyTextIndent"/>
        <w:ind w:firstLine="720"/>
        <w:rPr>
          <w:rFonts w:ascii="Times New Roman" w:hAnsi="Times New Roman"/>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349"/>
        <w:gridCol w:w="1513"/>
      </w:tblGrid>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Р.б.</w:t>
            </w:r>
          </w:p>
          <w:p w:rsidR="0049202B" w:rsidRPr="00CB554C" w:rsidRDefault="0049202B" w:rsidP="00A57695">
            <w:pPr>
              <w:spacing w:after="0" w:line="240" w:lineRule="auto"/>
              <w:jc w:val="center"/>
              <w:rPr>
                <w:rFonts w:ascii="Times New Roman" w:hAnsi="Times New Roman"/>
                <w:b/>
                <w:bCs/>
                <w:lang w:val="sr-Cyrl-CS"/>
              </w:rPr>
            </w:pPr>
            <w:r w:rsidRPr="00CB554C">
              <w:rPr>
                <w:rFonts w:ascii="Times New Roman" w:hAnsi="Times New Roman"/>
                <w:b/>
                <w:bCs/>
                <w:lang w:val="sr-Cyrl-CS"/>
              </w:rPr>
              <w:t>Nr.r.</w:t>
            </w:r>
          </w:p>
        </w:tc>
        <w:tc>
          <w:tcPr>
            <w:tcW w:w="3837" w:type="pct"/>
            <w:vAlign w:val="center"/>
          </w:tcPr>
          <w:p w:rsidR="0049202B" w:rsidRPr="00CB554C" w:rsidRDefault="0049202B" w:rsidP="00A57695">
            <w:pPr>
              <w:spacing w:after="0" w:line="240" w:lineRule="auto"/>
              <w:jc w:val="center"/>
              <w:rPr>
                <w:rFonts w:ascii="Times New Roman" w:hAnsi="Times New Roman"/>
                <w:b/>
                <w:bCs/>
                <w:lang w:val="sq-AL"/>
              </w:rPr>
            </w:pPr>
            <w:r w:rsidRPr="00CB554C">
              <w:rPr>
                <w:rFonts w:ascii="Times New Roman" w:hAnsi="Times New Roman"/>
                <w:b/>
                <w:bCs/>
                <w:lang w:val="sr-Cyrl-CS"/>
              </w:rPr>
              <w:t>ЗОНА</w:t>
            </w:r>
            <w:r w:rsidRPr="00CB554C">
              <w:rPr>
                <w:rFonts w:ascii="Times New Roman" w:hAnsi="Times New Roman"/>
                <w:b/>
                <w:bCs/>
                <w:lang w:val="sq-AL"/>
              </w:rPr>
              <w:t xml:space="preserve"> - ZONA</w:t>
            </w:r>
          </w:p>
        </w:tc>
        <w:tc>
          <w:tcPr>
            <w:tcW w:w="790" w:type="pct"/>
            <w:vAlign w:val="center"/>
          </w:tcPr>
          <w:p w:rsidR="0049202B" w:rsidRPr="00CB554C" w:rsidRDefault="0049202B" w:rsidP="00A57695">
            <w:pPr>
              <w:spacing w:after="0" w:line="240" w:lineRule="auto"/>
              <w:jc w:val="center"/>
              <w:rPr>
                <w:rFonts w:ascii="Times New Roman" w:hAnsi="Times New Roman"/>
                <w:b/>
                <w:bCs/>
                <w:lang w:val="sr-Latn-CS"/>
              </w:rPr>
            </w:pPr>
            <w:r w:rsidRPr="00CB554C">
              <w:rPr>
                <w:rFonts w:ascii="Times New Roman" w:hAnsi="Times New Roman"/>
                <w:b/>
                <w:bCs/>
                <w:lang w:val="sr-Cyrl-CS"/>
              </w:rPr>
              <w:t>202</w:t>
            </w:r>
            <w:r w:rsidR="003C0BC1">
              <w:rPr>
                <w:rFonts w:ascii="Times New Roman" w:hAnsi="Times New Roman"/>
                <w:b/>
                <w:bCs/>
              </w:rPr>
              <w:t>5</w:t>
            </w:r>
            <w:r w:rsidRPr="00CB554C">
              <w:rPr>
                <w:rFonts w:ascii="Times New Roman" w:hAnsi="Times New Roman"/>
                <w:b/>
                <w:bCs/>
                <w:lang w:val="sr-Cyrl-CS"/>
              </w:rPr>
              <w:t>.</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1.</w:t>
            </w:r>
          </w:p>
        </w:tc>
        <w:tc>
          <w:tcPr>
            <w:tcW w:w="3837" w:type="pct"/>
          </w:tcPr>
          <w:p w:rsidR="0049202B" w:rsidRPr="00D9101F" w:rsidRDefault="0049202B" w:rsidP="00A57695">
            <w:pPr>
              <w:spacing w:after="0" w:line="240" w:lineRule="auto"/>
              <w:jc w:val="both"/>
              <w:rPr>
                <w:rFonts w:ascii="Times New Roman" w:hAnsi="Times New Roman"/>
              </w:rPr>
            </w:pPr>
            <w:r w:rsidRPr="00CB554C">
              <w:rPr>
                <w:rFonts w:ascii="Times New Roman" w:hAnsi="Times New Roman"/>
                <w:lang w:val="sr-Cyrl-CS"/>
              </w:rPr>
              <w:t>ЗОНА</w:t>
            </w:r>
            <w:r w:rsidRPr="00CB554C">
              <w:rPr>
                <w:rFonts w:ascii="Times New Roman" w:hAnsi="Times New Roman"/>
                <w:lang w:val="sq-AL"/>
              </w:rPr>
              <w:t xml:space="preserve"> – ZONA </w:t>
            </w:r>
            <w:r w:rsidRPr="00CB554C">
              <w:rPr>
                <w:rFonts w:ascii="Times New Roman" w:hAnsi="Times New Roman"/>
                <w:b/>
                <w:lang w:val="sq-AL"/>
              </w:rPr>
              <w:t>I</w:t>
            </w:r>
          </w:p>
        </w:tc>
        <w:tc>
          <w:tcPr>
            <w:tcW w:w="790" w:type="pct"/>
            <w:vAlign w:val="center"/>
          </w:tcPr>
          <w:p w:rsidR="0049202B" w:rsidRPr="00CD738C" w:rsidRDefault="0049202B" w:rsidP="00A57695">
            <w:pPr>
              <w:spacing w:after="0" w:line="240" w:lineRule="auto"/>
              <w:jc w:val="center"/>
              <w:rPr>
                <w:rFonts w:ascii="Times New Roman" w:hAnsi="Times New Roman"/>
                <w:lang w:val="sr-Cyrl-CS"/>
              </w:rPr>
            </w:pPr>
            <w:r w:rsidRPr="00CD738C">
              <w:rPr>
                <w:rFonts w:ascii="Times New Roman" w:hAnsi="Times New Roman"/>
                <w:lang w:val="sr-Cyrl-CS"/>
              </w:rPr>
              <w:t>25,00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2.</w:t>
            </w:r>
          </w:p>
        </w:tc>
        <w:tc>
          <w:tcPr>
            <w:tcW w:w="3837" w:type="pct"/>
          </w:tcPr>
          <w:p w:rsidR="0049202B" w:rsidRPr="00CB554C" w:rsidRDefault="0049202B" w:rsidP="00A57695">
            <w:pPr>
              <w:spacing w:after="0" w:line="240" w:lineRule="auto"/>
              <w:jc w:val="both"/>
              <w:rPr>
                <w:rFonts w:ascii="Times New Roman" w:hAnsi="Times New Roman"/>
              </w:rPr>
            </w:pPr>
            <w:r w:rsidRPr="00CB554C">
              <w:rPr>
                <w:rFonts w:ascii="Times New Roman" w:hAnsi="Times New Roman"/>
                <w:lang w:val="sr-Cyrl-CS"/>
              </w:rPr>
              <w:t>ЗОНА</w:t>
            </w:r>
            <w:r w:rsidRPr="00CB554C">
              <w:rPr>
                <w:rFonts w:ascii="Times New Roman" w:hAnsi="Times New Roman"/>
                <w:lang w:val="sq-AL"/>
              </w:rPr>
              <w:t xml:space="preserve"> – ZONA </w:t>
            </w:r>
            <w:r w:rsidRPr="00CB554C">
              <w:rPr>
                <w:rFonts w:ascii="Times New Roman" w:hAnsi="Times New Roman"/>
                <w:b/>
                <w:lang w:val="sq-AL"/>
              </w:rPr>
              <w:t>II</w:t>
            </w:r>
          </w:p>
        </w:tc>
        <w:tc>
          <w:tcPr>
            <w:tcW w:w="790" w:type="pct"/>
            <w:vAlign w:val="center"/>
          </w:tcPr>
          <w:p w:rsidR="0049202B" w:rsidRPr="00CD738C" w:rsidRDefault="0049202B" w:rsidP="00A57695">
            <w:pPr>
              <w:spacing w:after="0" w:line="240" w:lineRule="auto"/>
              <w:jc w:val="center"/>
              <w:rPr>
                <w:rFonts w:ascii="Times New Roman" w:hAnsi="Times New Roman"/>
                <w:lang w:val="sr-Cyrl-CS"/>
              </w:rPr>
            </w:pPr>
            <w:r w:rsidRPr="00CD738C">
              <w:rPr>
                <w:rFonts w:ascii="Times New Roman" w:hAnsi="Times New Roman"/>
                <w:lang w:val="sr-Cyrl-CS"/>
              </w:rPr>
              <w:t>20,00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3.</w:t>
            </w:r>
          </w:p>
        </w:tc>
        <w:tc>
          <w:tcPr>
            <w:tcW w:w="3837" w:type="pct"/>
          </w:tcPr>
          <w:p w:rsidR="0049202B" w:rsidRPr="00CB554C" w:rsidRDefault="0049202B" w:rsidP="00A57695">
            <w:pPr>
              <w:spacing w:after="0" w:line="240" w:lineRule="auto"/>
              <w:jc w:val="both"/>
              <w:rPr>
                <w:rFonts w:ascii="Times New Roman" w:hAnsi="Times New Roman"/>
              </w:rPr>
            </w:pPr>
            <w:r w:rsidRPr="00CB554C">
              <w:rPr>
                <w:rFonts w:ascii="Times New Roman" w:hAnsi="Times New Roman"/>
                <w:lang w:val="sr-Cyrl-CS"/>
              </w:rPr>
              <w:t>ЗОНА</w:t>
            </w:r>
            <w:r w:rsidRPr="00CB554C">
              <w:rPr>
                <w:rFonts w:ascii="Times New Roman" w:hAnsi="Times New Roman"/>
                <w:lang w:val="sq-AL"/>
              </w:rPr>
              <w:t xml:space="preserve"> – ZONA </w:t>
            </w:r>
            <w:r w:rsidRPr="00CB554C">
              <w:rPr>
                <w:rFonts w:ascii="Times New Roman" w:hAnsi="Times New Roman"/>
                <w:b/>
                <w:lang w:val="sq-AL"/>
              </w:rPr>
              <w:t>III</w:t>
            </w:r>
          </w:p>
        </w:tc>
        <w:tc>
          <w:tcPr>
            <w:tcW w:w="790" w:type="pct"/>
            <w:vAlign w:val="center"/>
          </w:tcPr>
          <w:p w:rsidR="0049202B" w:rsidRPr="00CD738C" w:rsidRDefault="0049202B" w:rsidP="00A57695">
            <w:pPr>
              <w:spacing w:after="0" w:line="240" w:lineRule="auto"/>
              <w:jc w:val="center"/>
              <w:rPr>
                <w:rFonts w:ascii="Times New Roman" w:hAnsi="Times New Roman"/>
                <w:lang w:val="sr-Cyrl-CS"/>
              </w:rPr>
            </w:pPr>
            <w:r w:rsidRPr="00CD738C">
              <w:rPr>
                <w:rFonts w:ascii="Times New Roman" w:hAnsi="Times New Roman"/>
                <w:lang w:val="sr-Cyrl-CS"/>
              </w:rPr>
              <w:t>18,00</w:t>
            </w:r>
          </w:p>
        </w:tc>
      </w:tr>
      <w:tr w:rsidR="0049202B" w:rsidRPr="00CB554C" w:rsidTr="00E11D73">
        <w:trPr>
          <w:jc w:val="center"/>
        </w:trPr>
        <w:tc>
          <w:tcPr>
            <w:tcW w:w="373"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4.</w:t>
            </w:r>
          </w:p>
        </w:tc>
        <w:tc>
          <w:tcPr>
            <w:tcW w:w="3837" w:type="pct"/>
          </w:tcPr>
          <w:p w:rsidR="0049202B" w:rsidRPr="00CB554C" w:rsidRDefault="0049202B" w:rsidP="00A57695">
            <w:pPr>
              <w:spacing w:after="0" w:line="240" w:lineRule="auto"/>
              <w:jc w:val="both"/>
              <w:rPr>
                <w:rFonts w:ascii="Times New Roman" w:hAnsi="Times New Roman"/>
              </w:rPr>
            </w:pPr>
            <w:r w:rsidRPr="00CB554C">
              <w:rPr>
                <w:rFonts w:ascii="Times New Roman" w:hAnsi="Times New Roman"/>
                <w:lang w:val="sr-Cyrl-CS"/>
              </w:rPr>
              <w:t>ЗОНА</w:t>
            </w:r>
            <w:r w:rsidRPr="00CB554C">
              <w:rPr>
                <w:rFonts w:ascii="Times New Roman" w:hAnsi="Times New Roman"/>
                <w:lang w:val="sq-AL"/>
              </w:rPr>
              <w:t xml:space="preserve"> – ZONA </w:t>
            </w:r>
            <w:r w:rsidRPr="00CB554C">
              <w:rPr>
                <w:rFonts w:ascii="Times New Roman" w:hAnsi="Times New Roman"/>
                <w:b/>
                <w:lang w:val="sq-AL"/>
              </w:rPr>
              <w:t>IV</w:t>
            </w:r>
          </w:p>
        </w:tc>
        <w:tc>
          <w:tcPr>
            <w:tcW w:w="790" w:type="pct"/>
            <w:vAlign w:val="center"/>
          </w:tcPr>
          <w:p w:rsidR="0049202B" w:rsidRPr="00CD738C" w:rsidRDefault="0049202B" w:rsidP="00A57695">
            <w:pPr>
              <w:spacing w:after="0" w:line="240" w:lineRule="auto"/>
              <w:jc w:val="center"/>
              <w:rPr>
                <w:rFonts w:ascii="Times New Roman" w:hAnsi="Times New Roman"/>
                <w:lang w:val="sr-Cyrl-CS"/>
              </w:rPr>
            </w:pPr>
            <w:r w:rsidRPr="00CD738C">
              <w:rPr>
                <w:rFonts w:ascii="Times New Roman" w:hAnsi="Times New Roman"/>
                <w:lang w:val="sr-Cyrl-CS"/>
              </w:rPr>
              <w:t>15,00</w:t>
            </w:r>
          </w:p>
        </w:tc>
      </w:tr>
    </w:tbl>
    <w:p w:rsidR="0049202B" w:rsidRDefault="0049202B" w:rsidP="00A57695">
      <w:pPr>
        <w:pStyle w:val="ListParagraph"/>
        <w:numPr>
          <w:ilvl w:val="0"/>
          <w:numId w:val="4"/>
        </w:numPr>
        <w:contextualSpacing w:val="0"/>
        <w:jc w:val="both"/>
        <w:rPr>
          <w:sz w:val="22"/>
          <w:szCs w:val="22"/>
        </w:rPr>
      </w:pPr>
      <w:r w:rsidRPr="00590DF7">
        <w:rPr>
          <w:sz w:val="22"/>
          <w:szCs w:val="22"/>
        </w:rPr>
        <w:t>Под забавним играма сматрају се игре на рачунарима, симулаторима, видео-аутоматима, флиперима и другим сличним направама које се стављају у погон помоћу новца или жетона, као И пикадо, билијар и друге сличне игре, у којима се учествује уз наплату, а у којима учесник не може остварити добитак у новцу, стварима, услугама или правима, већ право на једну или више бесплатних игара исте врсте.</w:t>
      </w:r>
    </w:p>
    <w:p w:rsidR="0049202B" w:rsidRPr="00590DF7" w:rsidRDefault="0049202B" w:rsidP="00A57695">
      <w:pPr>
        <w:pStyle w:val="ListParagraph"/>
        <w:contextualSpacing w:val="0"/>
        <w:jc w:val="both"/>
        <w:rPr>
          <w:sz w:val="22"/>
          <w:szCs w:val="22"/>
        </w:rPr>
      </w:pPr>
    </w:p>
    <w:p w:rsidR="0049202B" w:rsidRPr="00CB554C" w:rsidRDefault="0049202B" w:rsidP="00A57695">
      <w:pPr>
        <w:pStyle w:val="ListParagraph"/>
        <w:jc w:val="both"/>
        <w:rPr>
          <w:sz w:val="22"/>
          <w:szCs w:val="22"/>
        </w:rPr>
      </w:pPr>
      <w:r w:rsidRPr="00CB554C">
        <w:rPr>
          <w:sz w:val="22"/>
          <w:szCs w:val="22"/>
          <w:lang w:val="sq-AL"/>
        </w:rPr>
        <w:t xml:space="preserve">Në lojëra argëtuese përfshihen lojërat në kompjuterë, simulatorë, video automatet, pinballë dhe pajisje të tjera të ngjashme që përdoren me para ose zhetona, si dhe pikadot, bilardo dhe lojëra të </w:t>
      </w:r>
      <w:r w:rsidRPr="00CB554C">
        <w:rPr>
          <w:sz w:val="22"/>
          <w:szCs w:val="22"/>
          <w:lang w:val="sq-AL"/>
        </w:rPr>
        <w:lastRenderedPageBreak/>
        <w:t>tjera të ngjashme , në të cilën marrin pjesë me pagesë, në të cilën pjesëmarrësi nuk mund të fitojë para, gjëra, shërbime apo të drejta, por e drejta për një ose më shumë lojëra pa pagesë të të njëjtit lloj.</w:t>
      </w:r>
    </w:p>
    <w:p w:rsidR="0049202B" w:rsidRPr="00CB554C" w:rsidRDefault="0049202B" w:rsidP="00A57695">
      <w:pPr>
        <w:pStyle w:val="ListParagraph"/>
        <w:jc w:val="both"/>
        <w:rPr>
          <w:sz w:val="22"/>
          <w:szCs w:val="22"/>
        </w:rPr>
      </w:pPr>
    </w:p>
    <w:p w:rsidR="0049202B" w:rsidRDefault="0049202B" w:rsidP="00A57695">
      <w:pPr>
        <w:pStyle w:val="ListParagraph"/>
        <w:numPr>
          <w:ilvl w:val="0"/>
          <w:numId w:val="4"/>
        </w:numPr>
        <w:contextualSpacing w:val="0"/>
        <w:jc w:val="both"/>
        <w:rPr>
          <w:sz w:val="22"/>
          <w:szCs w:val="22"/>
        </w:rPr>
      </w:pPr>
      <w:r w:rsidRPr="00CB554C">
        <w:rPr>
          <w:sz w:val="22"/>
          <w:szCs w:val="22"/>
        </w:rPr>
        <w:t>Обвезник таксе из овог тарифног броја је корисник простора (правно лице или предузетник – физичко лице), које држи – приређује забавне игре на основу задужења законом одређеног органа за наплату јавних прихода.</w:t>
      </w:r>
    </w:p>
    <w:p w:rsidR="0049202B" w:rsidRPr="00CB554C" w:rsidRDefault="0049202B" w:rsidP="00A57695">
      <w:pPr>
        <w:pStyle w:val="ListParagraph"/>
        <w:contextualSpacing w:val="0"/>
        <w:jc w:val="both"/>
        <w:rPr>
          <w:sz w:val="22"/>
          <w:szCs w:val="22"/>
        </w:rPr>
      </w:pPr>
    </w:p>
    <w:p w:rsidR="0049202B" w:rsidRPr="00CB554C" w:rsidRDefault="0049202B" w:rsidP="00A57695">
      <w:pPr>
        <w:pStyle w:val="ListParagraph"/>
        <w:jc w:val="both"/>
        <w:rPr>
          <w:sz w:val="22"/>
          <w:szCs w:val="22"/>
        </w:rPr>
      </w:pPr>
      <w:r w:rsidRPr="00CB554C">
        <w:rPr>
          <w:sz w:val="22"/>
          <w:szCs w:val="22"/>
          <w:lang w:val="sq-AL"/>
        </w:rPr>
        <w:t>Tatimpaguesi i këtij numri tarifor është shfrytëzuesi i objektit (personi juridik ose sipërmarrësi - personi fizik), i cili e mban atë - organizon lojëra zbavitëse në bazë të detyrimeve ligjore të organit të caktuar të mbledhjes së të ardhurave publike</w:t>
      </w:r>
    </w:p>
    <w:p w:rsidR="0049202B" w:rsidRPr="00CB554C" w:rsidRDefault="0049202B" w:rsidP="00A57695">
      <w:pPr>
        <w:pStyle w:val="ListParagraph"/>
        <w:jc w:val="both"/>
        <w:rPr>
          <w:sz w:val="22"/>
          <w:szCs w:val="22"/>
        </w:rPr>
      </w:pPr>
    </w:p>
    <w:p w:rsidR="0049202B" w:rsidRDefault="0049202B" w:rsidP="00A57695">
      <w:pPr>
        <w:pStyle w:val="ListParagraph"/>
        <w:numPr>
          <w:ilvl w:val="0"/>
          <w:numId w:val="4"/>
        </w:numPr>
        <w:contextualSpacing w:val="0"/>
        <w:jc w:val="both"/>
        <w:rPr>
          <w:sz w:val="22"/>
          <w:szCs w:val="22"/>
        </w:rPr>
      </w:pPr>
      <w:r w:rsidRPr="00CB554C">
        <w:rPr>
          <w:sz w:val="22"/>
          <w:szCs w:val="22"/>
        </w:rPr>
        <w:t>Таксени обвезник је дужан да пријави држање средстава – апарата за забавну игру Општинској управи – Одељењу за локалну пореску администрацију, која врши утврђивање обавезе по овом тарифном броју.</w:t>
      </w:r>
    </w:p>
    <w:p w:rsidR="0049202B" w:rsidRPr="00CB554C" w:rsidRDefault="0049202B" w:rsidP="00A57695">
      <w:pPr>
        <w:pStyle w:val="ListParagraph"/>
        <w:contextualSpacing w:val="0"/>
        <w:jc w:val="both"/>
        <w:rPr>
          <w:sz w:val="22"/>
          <w:szCs w:val="22"/>
        </w:rPr>
      </w:pPr>
    </w:p>
    <w:p w:rsidR="0049202B" w:rsidRPr="00CB554C" w:rsidRDefault="0049202B" w:rsidP="00A57695">
      <w:pPr>
        <w:pStyle w:val="ListParagraph"/>
        <w:jc w:val="both"/>
        <w:rPr>
          <w:sz w:val="22"/>
          <w:szCs w:val="22"/>
        </w:rPr>
      </w:pPr>
      <w:r w:rsidRPr="00CB554C">
        <w:rPr>
          <w:sz w:val="22"/>
          <w:szCs w:val="22"/>
          <w:lang w:val="sq-AL"/>
        </w:rPr>
        <w:t xml:space="preserve">Tatimpaguesi është i detyruar të raportojë mbajtjen e mjeteve - pajisjen për lojra argëtuese tek Administrata komunale - </w:t>
      </w:r>
      <w:r w:rsidRPr="00CB554C">
        <w:rPr>
          <w:sz w:val="22"/>
          <w:szCs w:val="22"/>
          <w:lang w:val="sr-Cyrl-CS"/>
        </w:rPr>
        <w:t xml:space="preserve">Drejtorati </w:t>
      </w:r>
      <w:r w:rsidRPr="00CB554C">
        <w:rPr>
          <w:sz w:val="22"/>
          <w:szCs w:val="22"/>
          <w:lang w:val="sq-AL"/>
        </w:rPr>
        <w:t>për administratë tatimore lokale, i cili kryen detyrimin sipas këtij kreu.</w:t>
      </w:r>
    </w:p>
    <w:p w:rsidR="0049202B" w:rsidRPr="00CB554C" w:rsidRDefault="0049202B" w:rsidP="00A57695">
      <w:pPr>
        <w:spacing w:after="0" w:line="240" w:lineRule="auto"/>
        <w:jc w:val="both"/>
        <w:rPr>
          <w:rFonts w:ascii="Times New Roman" w:hAnsi="Times New Roman"/>
        </w:rPr>
      </w:pPr>
    </w:p>
    <w:p w:rsidR="0049202B" w:rsidRPr="00CB554C" w:rsidRDefault="0049202B" w:rsidP="00A57695">
      <w:pPr>
        <w:spacing w:after="0" w:line="240" w:lineRule="auto"/>
        <w:ind w:firstLine="720"/>
        <w:jc w:val="both"/>
        <w:rPr>
          <w:rFonts w:ascii="Times New Roman" w:hAnsi="Times New Roman"/>
        </w:rPr>
      </w:pPr>
      <w:proofErr w:type="gramStart"/>
      <w:r w:rsidRPr="00CB554C">
        <w:rPr>
          <w:rFonts w:ascii="Times New Roman" w:hAnsi="Times New Roman"/>
        </w:rPr>
        <w:t>Пријава садржи име и презиме корисника простора, адресу, врсту, марку, тип и серијски број апарата и време држања апарата.</w:t>
      </w:r>
      <w:proofErr w:type="gramEnd"/>
    </w:p>
    <w:p w:rsidR="0049202B" w:rsidRPr="00CB554C" w:rsidRDefault="0049202B" w:rsidP="00A57695">
      <w:pPr>
        <w:spacing w:after="0" w:line="240" w:lineRule="auto"/>
        <w:ind w:firstLine="720"/>
        <w:jc w:val="both"/>
        <w:rPr>
          <w:rFonts w:ascii="Times New Roman" w:hAnsi="Times New Roman"/>
        </w:rPr>
      </w:pPr>
      <w:r w:rsidRPr="00CB554C">
        <w:rPr>
          <w:rFonts w:ascii="Times New Roman" w:hAnsi="Times New Roman"/>
          <w:lang w:val="sq-AL"/>
        </w:rPr>
        <w:t>Aplikimi përmban emrin dhe mbiemrin e përdoruesit të hapësirës, adresën, llojin, markën, llojin dhe numrin serik të pajisjeve dhe kohën e mbajtjes së pajisjes.</w:t>
      </w:r>
    </w:p>
    <w:p w:rsidR="0049202B" w:rsidRDefault="0049202B" w:rsidP="00A57695">
      <w:pPr>
        <w:pStyle w:val="ListParagraph"/>
        <w:numPr>
          <w:ilvl w:val="0"/>
          <w:numId w:val="3"/>
        </w:numPr>
        <w:ind w:left="720"/>
        <w:contextualSpacing w:val="0"/>
        <w:jc w:val="both"/>
        <w:rPr>
          <w:sz w:val="22"/>
          <w:szCs w:val="22"/>
        </w:rPr>
      </w:pPr>
      <w:r w:rsidRPr="00CB554C">
        <w:rPr>
          <w:sz w:val="22"/>
          <w:szCs w:val="22"/>
        </w:rPr>
        <w:t>Општинска управа надлежна за издавање одобрења за држање средстава за игру дужна је да достави један примерак одобрења за држање средстава за игру Одељењу за локалну пореску администрацију са следећим подацима:</w:t>
      </w:r>
    </w:p>
    <w:p w:rsidR="0049202B" w:rsidRPr="00CB554C" w:rsidRDefault="0049202B" w:rsidP="00A57695">
      <w:pPr>
        <w:pStyle w:val="ListParagraph"/>
        <w:contextualSpacing w:val="0"/>
        <w:jc w:val="both"/>
        <w:rPr>
          <w:sz w:val="22"/>
          <w:szCs w:val="22"/>
        </w:rPr>
      </w:pPr>
    </w:p>
    <w:p w:rsidR="0049202B" w:rsidRPr="00CB554C" w:rsidRDefault="0049202B" w:rsidP="00A57695">
      <w:pPr>
        <w:pStyle w:val="ListParagraph"/>
        <w:jc w:val="both"/>
        <w:rPr>
          <w:sz w:val="22"/>
          <w:szCs w:val="22"/>
        </w:rPr>
      </w:pPr>
      <w:r w:rsidRPr="00CB554C">
        <w:rPr>
          <w:sz w:val="22"/>
          <w:szCs w:val="22"/>
          <w:lang w:val="sq-AL"/>
        </w:rPr>
        <w:t xml:space="preserve">Administrata e qytetit përgjegjëse për dhënien e lejes për mbajtjen e mjeteve për lojë është e detyruar të paraqesë një kopje të autorizimit për mbajtjen e mjeteve për të luajtur Administratës komunale - </w:t>
      </w:r>
      <w:r w:rsidRPr="00CB554C">
        <w:rPr>
          <w:sz w:val="22"/>
          <w:szCs w:val="22"/>
          <w:lang w:val="sr-Cyrl-CS"/>
        </w:rPr>
        <w:t xml:space="preserve">Drejtorati </w:t>
      </w:r>
      <w:r w:rsidRPr="00CB554C">
        <w:rPr>
          <w:sz w:val="22"/>
          <w:szCs w:val="22"/>
          <w:lang w:val="sq-AL"/>
        </w:rPr>
        <w:t>për administratë tatimore lokale me të dhënat e mëposhtme:</w:t>
      </w:r>
    </w:p>
    <w:p w:rsidR="0049202B" w:rsidRPr="00CB554C" w:rsidRDefault="0049202B" w:rsidP="00A57695">
      <w:pPr>
        <w:pStyle w:val="ListParagraph"/>
        <w:ind w:left="1080"/>
        <w:jc w:val="both"/>
        <w:rPr>
          <w:sz w:val="22"/>
          <w:szCs w:val="22"/>
        </w:rPr>
      </w:pPr>
    </w:p>
    <w:p w:rsidR="0049202B" w:rsidRPr="00CB554C" w:rsidRDefault="0049202B" w:rsidP="00A57695">
      <w:pPr>
        <w:pStyle w:val="ListParagraph"/>
        <w:numPr>
          <w:ilvl w:val="0"/>
          <w:numId w:val="1"/>
        </w:numPr>
        <w:contextualSpacing w:val="0"/>
        <w:jc w:val="both"/>
        <w:rPr>
          <w:sz w:val="22"/>
          <w:szCs w:val="22"/>
        </w:rPr>
      </w:pPr>
      <w:r w:rsidRPr="00CB554C">
        <w:rPr>
          <w:sz w:val="22"/>
          <w:szCs w:val="22"/>
        </w:rPr>
        <w:t>За правна лица: порески идентификациони број, матични број правног лица и жиро рачун, адресу седишта правног лица;</w:t>
      </w:r>
    </w:p>
    <w:p w:rsidR="0049202B" w:rsidRPr="00CB554C" w:rsidRDefault="0049202B" w:rsidP="00A57695">
      <w:pPr>
        <w:pStyle w:val="ListParagraph"/>
        <w:jc w:val="both"/>
        <w:rPr>
          <w:sz w:val="22"/>
          <w:szCs w:val="22"/>
          <w:lang w:val="sq-AL"/>
        </w:rPr>
      </w:pPr>
      <w:r w:rsidRPr="00CB554C">
        <w:rPr>
          <w:sz w:val="22"/>
          <w:szCs w:val="22"/>
          <w:lang w:val="sq-AL"/>
        </w:rPr>
        <w:t>Për personat juridik: numri i identifikimit tatimor, numri i personit juridik dhe llogaria e rrjedhëse, adresa e zyrës së personit juridik.</w:t>
      </w:r>
    </w:p>
    <w:p w:rsidR="0049202B" w:rsidRPr="00CB554C" w:rsidRDefault="0049202B" w:rsidP="00A57695">
      <w:pPr>
        <w:pStyle w:val="ListParagraph"/>
        <w:jc w:val="both"/>
        <w:rPr>
          <w:sz w:val="22"/>
          <w:szCs w:val="22"/>
        </w:rPr>
      </w:pPr>
    </w:p>
    <w:p w:rsidR="0049202B" w:rsidRPr="00CB554C" w:rsidRDefault="0049202B" w:rsidP="00A57695">
      <w:pPr>
        <w:pStyle w:val="ListParagraph"/>
        <w:numPr>
          <w:ilvl w:val="0"/>
          <w:numId w:val="1"/>
        </w:numPr>
        <w:contextualSpacing w:val="0"/>
        <w:jc w:val="both"/>
        <w:rPr>
          <w:sz w:val="22"/>
          <w:szCs w:val="22"/>
        </w:rPr>
      </w:pPr>
      <w:r w:rsidRPr="00CB554C">
        <w:rPr>
          <w:sz w:val="22"/>
          <w:szCs w:val="22"/>
        </w:rPr>
        <w:t>За физичка лица: порески идентификациони број, матични број, жиро рачун, број личне карте, адресу становања и седиште радње.</w:t>
      </w:r>
    </w:p>
    <w:p w:rsidR="0049202B" w:rsidRDefault="0049202B" w:rsidP="00A57695">
      <w:pPr>
        <w:pStyle w:val="ListParagraph"/>
        <w:jc w:val="both"/>
        <w:rPr>
          <w:sz w:val="22"/>
          <w:szCs w:val="22"/>
          <w:lang w:val="sq-AL"/>
        </w:rPr>
      </w:pPr>
      <w:r w:rsidRPr="00CB554C">
        <w:rPr>
          <w:sz w:val="22"/>
          <w:szCs w:val="22"/>
          <w:lang w:val="sq-AL"/>
        </w:rPr>
        <w:t>Për personat fizikë: numri i identifikimit tatimor, numri i identifikimit, llogaria rrjedhëse, numri i ID, adresa e vendbanimit dhe vendëndodhja e puntoris.</w:t>
      </w:r>
    </w:p>
    <w:p w:rsidR="0049202B" w:rsidRPr="00CB554C" w:rsidRDefault="0049202B" w:rsidP="00A57695">
      <w:pPr>
        <w:pStyle w:val="ListParagraph"/>
        <w:jc w:val="both"/>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1"/>
        <w:gridCol w:w="2474"/>
        <w:gridCol w:w="3191"/>
      </w:tblGrid>
      <w:tr w:rsidR="0049202B" w:rsidRPr="00CB554C" w:rsidTr="00E11D73">
        <w:trPr>
          <w:jc w:val="center"/>
        </w:trPr>
        <w:tc>
          <w:tcPr>
            <w:tcW w:w="2042" w:type="pct"/>
            <w:vAlign w:val="center"/>
          </w:tcPr>
          <w:p w:rsidR="0049202B" w:rsidRPr="00CB554C" w:rsidRDefault="0049202B" w:rsidP="00A57695">
            <w:pPr>
              <w:spacing w:after="0" w:line="240" w:lineRule="auto"/>
              <w:jc w:val="center"/>
              <w:rPr>
                <w:rFonts w:ascii="Times New Roman" w:hAnsi="Times New Roman"/>
                <w:lang w:val="sq-AL"/>
              </w:rPr>
            </w:pPr>
            <w:r w:rsidRPr="00CB554C">
              <w:rPr>
                <w:rFonts w:ascii="Times New Roman" w:hAnsi="Times New Roman"/>
                <w:lang w:val="sq-AL"/>
              </w:rPr>
              <w:t>Уплатни рачун</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Llogaria e pagesës</w:t>
            </w:r>
          </w:p>
        </w:tc>
        <w:tc>
          <w:tcPr>
            <w:tcW w:w="1292"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Број уплатног рачуна</w:t>
            </w:r>
          </w:p>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q-AL"/>
              </w:rPr>
              <w:t>Numri llogariaris pagesës</w:t>
            </w:r>
          </w:p>
        </w:tc>
        <w:tc>
          <w:tcPr>
            <w:tcW w:w="1666" w:type="pct"/>
            <w:vAlign w:val="center"/>
          </w:tcPr>
          <w:p w:rsidR="0049202B" w:rsidRPr="00CB554C" w:rsidRDefault="0049202B" w:rsidP="00A57695">
            <w:pPr>
              <w:spacing w:after="0" w:line="240" w:lineRule="auto"/>
              <w:jc w:val="center"/>
              <w:rPr>
                <w:rFonts w:ascii="Times New Roman" w:hAnsi="Times New Roman"/>
                <w:lang w:val="sr-Cyrl-CS"/>
              </w:rPr>
            </w:pPr>
            <w:r w:rsidRPr="00CB554C">
              <w:rPr>
                <w:rFonts w:ascii="Times New Roman" w:hAnsi="Times New Roman"/>
                <w:lang w:val="sr-Cyrl-CS"/>
              </w:rPr>
              <w:t>Позив на број одобрења</w:t>
            </w:r>
          </w:p>
          <w:p w:rsidR="0049202B" w:rsidRPr="00CB554C" w:rsidRDefault="0049202B" w:rsidP="00A57695">
            <w:pPr>
              <w:spacing w:after="0" w:line="240" w:lineRule="auto"/>
              <w:jc w:val="center"/>
              <w:rPr>
                <w:rFonts w:ascii="Times New Roman" w:hAnsi="Times New Roman"/>
                <w:lang w:val="sr-Latn-CS"/>
              </w:rPr>
            </w:pPr>
            <w:r w:rsidRPr="00CB554C">
              <w:rPr>
                <w:rStyle w:val="shorttext"/>
                <w:rFonts w:ascii="Times New Roman" w:hAnsi="Times New Roman"/>
                <w:lang w:val="sq-AL"/>
              </w:rPr>
              <w:t>Thirrja për numrin e miratimit</w:t>
            </w:r>
          </w:p>
        </w:tc>
      </w:tr>
      <w:tr w:rsidR="0049202B" w:rsidRPr="00CB554C" w:rsidTr="00E11D73">
        <w:trPr>
          <w:jc w:val="center"/>
        </w:trPr>
        <w:tc>
          <w:tcPr>
            <w:tcW w:w="2042" w:type="pct"/>
          </w:tcPr>
          <w:p w:rsidR="0049202B" w:rsidRPr="00CB554C" w:rsidRDefault="0049202B" w:rsidP="00A57695">
            <w:pPr>
              <w:spacing w:after="0" w:line="240" w:lineRule="auto"/>
              <w:rPr>
                <w:rFonts w:ascii="Times New Roman" w:hAnsi="Times New Roman"/>
                <w:lang w:val="sr-Cyrl-CS"/>
              </w:rPr>
            </w:pPr>
            <w:r w:rsidRPr="00CB554C">
              <w:rPr>
                <w:rFonts w:ascii="Times New Roman" w:hAnsi="Times New Roman"/>
                <w:lang w:val="sr-Cyrl-CS"/>
              </w:rPr>
              <w:t>Комунална такса за држање средстава за игру („забавне игре“)</w:t>
            </w:r>
          </w:p>
          <w:p w:rsidR="0049202B" w:rsidRPr="00CB554C" w:rsidRDefault="0049202B" w:rsidP="00A57695">
            <w:pPr>
              <w:spacing w:after="0" w:line="240" w:lineRule="auto"/>
              <w:jc w:val="both"/>
              <w:rPr>
                <w:rFonts w:ascii="Times New Roman" w:hAnsi="Times New Roman"/>
              </w:rPr>
            </w:pPr>
            <w:r w:rsidRPr="00CB554C">
              <w:rPr>
                <w:rFonts w:ascii="Times New Roman" w:hAnsi="Times New Roman"/>
                <w:lang w:val="sr-Latn-CS"/>
              </w:rPr>
              <w:t>Taksa komunale për mbajtjen e pajisjeve për lojra („lojrat argëtuese“)</w:t>
            </w:r>
          </w:p>
        </w:tc>
        <w:tc>
          <w:tcPr>
            <w:tcW w:w="1292"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840-714572843-29</w:t>
            </w:r>
          </w:p>
        </w:tc>
        <w:tc>
          <w:tcPr>
            <w:tcW w:w="1666" w:type="pct"/>
            <w:vAlign w:val="center"/>
          </w:tcPr>
          <w:p w:rsidR="0049202B" w:rsidRPr="00CB554C" w:rsidRDefault="0049202B" w:rsidP="00A57695">
            <w:pPr>
              <w:spacing w:after="0" w:line="240" w:lineRule="auto"/>
              <w:jc w:val="center"/>
              <w:rPr>
                <w:rFonts w:ascii="Times New Roman" w:hAnsi="Times New Roman"/>
                <w:lang w:val="sr-Latn-CS"/>
              </w:rPr>
            </w:pPr>
            <w:r w:rsidRPr="00CB554C">
              <w:rPr>
                <w:rFonts w:ascii="Times New Roman" w:hAnsi="Times New Roman"/>
                <w:lang w:val="sr-Latn-CS"/>
              </w:rPr>
              <w:t>97 08-030</w:t>
            </w:r>
          </w:p>
        </w:tc>
      </w:tr>
    </w:tbl>
    <w:p w:rsidR="0049202B" w:rsidRDefault="0049202B" w:rsidP="00A57695">
      <w:pPr>
        <w:spacing w:after="0" w:line="240" w:lineRule="auto"/>
      </w:pPr>
    </w:p>
    <w:sectPr w:rsidR="0049202B" w:rsidSect="0049202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ir Times">
    <w:panose1 w:val="02020500000000000000"/>
    <w:charset w:val="00"/>
    <w:family w:val="roman"/>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44E"/>
    <w:multiLevelType w:val="hybridMultilevel"/>
    <w:tmpl w:val="538469FE"/>
    <w:lvl w:ilvl="0" w:tplc="0562C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BA3662"/>
    <w:multiLevelType w:val="hybridMultilevel"/>
    <w:tmpl w:val="45286260"/>
    <w:lvl w:ilvl="0" w:tplc="DFC2B514">
      <w:start w:val="1"/>
      <w:numFmt w:val="bullet"/>
      <w:lvlText w:val="-"/>
      <w:lvlJc w:val="left"/>
      <w:pPr>
        <w:ind w:left="720" w:hanging="360"/>
      </w:pPr>
      <w:rPr>
        <w:rFonts w:ascii="Cir Times" w:eastAsia="Times New Roman" w:hAnsi="Cir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03E5E"/>
    <w:multiLevelType w:val="hybridMultilevel"/>
    <w:tmpl w:val="D2AA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C73BE"/>
    <w:multiLevelType w:val="hybridMultilevel"/>
    <w:tmpl w:val="413C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D1411"/>
    <w:multiLevelType w:val="hybridMultilevel"/>
    <w:tmpl w:val="29982C5E"/>
    <w:lvl w:ilvl="0" w:tplc="0409000F">
      <w:start w:val="1"/>
      <w:numFmt w:val="decimal"/>
      <w:lvlText w:val="%1."/>
      <w:lvlJc w:val="left"/>
      <w:pPr>
        <w:ind w:left="720" w:hanging="360"/>
      </w:pPr>
    </w:lvl>
    <w:lvl w:ilvl="1" w:tplc="8390BB2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671816"/>
    <w:multiLevelType w:val="hybridMultilevel"/>
    <w:tmpl w:val="6A7444EE"/>
    <w:lvl w:ilvl="0" w:tplc="EBD4D7F4">
      <w:start w:val="1"/>
      <w:numFmt w:val="decimal"/>
      <w:lvlText w:val="%1."/>
      <w:lvlJc w:val="left"/>
      <w:pPr>
        <w:ind w:left="720" w:hanging="360"/>
      </w:pPr>
      <w:rPr>
        <w:rFonts w:ascii="Cir Times" w:hAnsi="Cir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40F08"/>
    <w:multiLevelType w:val="hybridMultilevel"/>
    <w:tmpl w:val="D6A02EC6"/>
    <w:lvl w:ilvl="0" w:tplc="0409000F">
      <w:start w:val="1"/>
      <w:numFmt w:val="decimal"/>
      <w:lvlText w:val="%1."/>
      <w:lvlJc w:val="left"/>
      <w:pPr>
        <w:ind w:left="720" w:hanging="360"/>
      </w:pPr>
    </w:lvl>
    <w:lvl w:ilvl="1" w:tplc="EB42F15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compat/>
  <w:rsids>
    <w:rsidRoot w:val="0049202B"/>
    <w:rsid w:val="000034A0"/>
    <w:rsid w:val="00003B3A"/>
    <w:rsid w:val="0001072F"/>
    <w:rsid w:val="00035115"/>
    <w:rsid w:val="00050939"/>
    <w:rsid w:val="00051D89"/>
    <w:rsid w:val="00054475"/>
    <w:rsid w:val="00063F1C"/>
    <w:rsid w:val="000657E8"/>
    <w:rsid w:val="000661AC"/>
    <w:rsid w:val="00072BA9"/>
    <w:rsid w:val="00075DA3"/>
    <w:rsid w:val="000765CC"/>
    <w:rsid w:val="0007722A"/>
    <w:rsid w:val="00084300"/>
    <w:rsid w:val="00090C9F"/>
    <w:rsid w:val="000A1C79"/>
    <w:rsid w:val="000A5736"/>
    <w:rsid w:val="000B363A"/>
    <w:rsid w:val="000B4863"/>
    <w:rsid w:val="000D26E2"/>
    <w:rsid w:val="000D57E7"/>
    <w:rsid w:val="000E04CA"/>
    <w:rsid w:val="000E68DD"/>
    <w:rsid w:val="000E7EB1"/>
    <w:rsid w:val="000F369E"/>
    <w:rsid w:val="000F394B"/>
    <w:rsid w:val="00100E6A"/>
    <w:rsid w:val="0010235B"/>
    <w:rsid w:val="00106892"/>
    <w:rsid w:val="001110EE"/>
    <w:rsid w:val="001136CB"/>
    <w:rsid w:val="00120C86"/>
    <w:rsid w:val="00121E7C"/>
    <w:rsid w:val="00122ABD"/>
    <w:rsid w:val="001322E8"/>
    <w:rsid w:val="00142856"/>
    <w:rsid w:val="00144F41"/>
    <w:rsid w:val="00151308"/>
    <w:rsid w:val="0017315A"/>
    <w:rsid w:val="001746DC"/>
    <w:rsid w:val="00174F4F"/>
    <w:rsid w:val="00181E79"/>
    <w:rsid w:val="001843C5"/>
    <w:rsid w:val="00185539"/>
    <w:rsid w:val="00187425"/>
    <w:rsid w:val="00191039"/>
    <w:rsid w:val="001911B7"/>
    <w:rsid w:val="00192920"/>
    <w:rsid w:val="00193284"/>
    <w:rsid w:val="00194712"/>
    <w:rsid w:val="001A29FF"/>
    <w:rsid w:val="001A38E4"/>
    <w:rsid w:val="001A6D5D"/>
    <w:rsid w:val="001A7560"/>
    <w:rsid w:val="001B299E"/>
    <w:rsid w:val="001C18D3"/>
    <w:rsid w:val="001C386C"/>
    <w:rsid w:val="001D3827"/>
    <w:rsid w:val="001E6EBF"/>
    <w:rsid w:val="001F6E5C"/>
    <w:rsid w:val="00206182"/>
    <w:rsid w:val="0020669F"/>
    <w:rsid w:val="0021248D"/>
    <w:rsid w:val="002207CF"/>
    <w:rsid w:val="00222159"/>
    <w:rsid w:val="00226807"/>
    <w:rsid w:val="00232AFE"/>
    <w:rsid w:val="00233FBB"/>
    <w:rsid w:val="00237045"/>
    <w:rsid w:val="002444DB"/>
    <w:rsid w:val="00252B2E"/>
    <w:rsid w:val="002558D5"/>
    <w:rsid w:val="00256910"/>
    <w:rsid w:val="00261595"/>
    <w:rsid w:val="0026753E"/>
    <w:rsid w:val="002771EC"/>
    <w:rsid w:val="002834F4"/>
    <w:rsid w:val="00283599"/>
    <w:rsid w:val="00291B4E"/>
    <w:rsid w:val="002975F7"/>
    <w:rsid w:val="002A1059"/>
    <w:rsid w:val="002A2D97"/>
    <w:rsid w:val="002A545D"/>
    <w:rsid w:val="002B33E7"/>
    <w:rsid w:val="002B3C78"/>
    <w:rsid w:val="002B7759"/>
    <w:rsid w:val="002C09ED"/>
    <w:rsid w:val="002C25EA"/>
    <w:rsid w:val="002C6602"/>
    <w:rsid w:val="002D0AAF"/>
    <w:rsid w:val="002D1A7E"/>
    <w:rsid w:val="002E5F18"/>
    <w:rsid w:val="002E6BF7"/>
    <w:rsid w:val="002F0AAC"/>
    <w:rsid w:val="002F214F"/>
    <w:rsid w:val="002F5459"/>
    <w:rsid w:val="002F68CC"/>
    <w:rsid w:val="00305B3F"/>
    <w:rsid w:val="00306E3D"/>
    <w:rsid w:val="00307550"/>
    <w:rsid w:val="003248B1"/>
    <w:rsid w:val="00325AE0"/>
    <w:rsid w:val="0033568B"/>
    <w:rsid w:val="00336074"/>
    <w:rsid w:val="00342767"/>
    <w:rsid w:val="00342E26"/>
    <w:rsid w:val="00347A83"/>
    <w:rsid w:val="00347DB6"/>
    <w:rsid w:val="00360F4F"/>
    <w:rsid w:val="00365141"/>
    <w:rsid w:val="003659D2"/>
    <w:rsid w:val="00367F14"/>
    <w:rsid w:val="00371036"/>
    <w:rsid w:val="00377ABC"/>
    <w:rsid w:val="0038123F"/>
    <w:rsid w:val="003B1851"/>
    <w:rsid w:val="003B7FFD"/>
    <w:rsid w:val="003C0BC1"/>
    <w:rsid w:val="003C7B0C"/>
    <w:rsid w:val="003D7FC2"/>
    <w:rsid w:val="003E5332"/>
    <w:rsid w:val="003E5B28"/>
    <w:rsid w:val="003F2409"/>
    <w:rsid w:val="003F427B"/>
    <w:rsid w:val="003F73FA"/>
    <w:rsid w:val="00400373"/>
    <w:rsid w:val="0040158A"/>
    <w:rsid w:val="00401691"/>
    <w:rsid w:val="0041095E"/>
    <w:rsid w:val="0041731F"/>
    <w:rsid w:val="0043053C"/>
    <w:rsid w:val="00430C69"/>
    <w:rsid w:val="00431003"/>
    <w:rsid w:val="00431954"/>
    <w:rsid w:val="00432205"/>
    <w:rsid w:val="00432951"/>
    <w:rsid w:val="00432CC6"/>
    <w:rsid w:val="0043464E"/>
    <w:rsid w:val="004518D1"/>
    <w:rsid w:val="00452479"/>
    <w:rsid w:val="00455455"/>
    <w:rsid w:val="004559F3"/>
    <w:rsid w:val="00456B38"/>
    <w:rsid w:val="00460749"/>
    <w:rsid w:val="00461AE0"/>
    <w:rsid w:val="00461D37"/>
    <w:rsid w:val="00473DFC"/>
    <w:rsid w:val="00474A34"/>
    <w:rsid w:val="004778C9"/>
    <w:rsid w:val="00484E59"/>
    <w:rsid w:val="004871EA"/>
    <w:rsid w:val="00487E27"/>
    <w:rsid w:val="0049202B"/>
    <w:rsid w:val="004935E6"/>
    <w:rsid w:val="00493EF6"/>
    <w:rsid w:val="004A03F4"/>
    <w:rsid w:val="004A24B2"/>
    <w:rsid w:val="004A7D30"/>
    <w:rsid w:val="004B16B0"/>
    <w:rsid w:val="004B36D3"/>
    <w:rsid w:val="004B7310"/>
    <w:rsid w:val="004C34DE"/>
    <w:rsid w:val="004C44DC"/>
    <w:rsid w:val="004C67B8"/>
    <w:rsid w:val="004D17BF"/>
    <w:rsid w:val="004D5C30"/>
    <w:rsid w:val="004D759B"/>
    <w:rsid w:val="004D7B9D"/>
    <w:rsid w:val="004F7917"/>
    <w:rsid w:val="00505133"/>
    <w:rsid w:val="005201B0"/>
    <w:rsid w:val="00525438"/>
    <w:rsid w:val="0052585A"/>
    <w:rsid w:val="00531D41"/>
    <w:rsid w:val="00534C5B"/>
    <w:rsid w:val="00546956"/>
    <w:rsid w:val="0055005F"/>
    <w:rsid w:val="0055623B"/>
    <w:rsid w:val="00557E06"/>
    <w:rsid w:val="0056253D"/>
    <w:rsid w:val="00562FA1"/>
    <w:rsid w:val="00567172"/>
    <w:rsid w:val="00570219"/>
    <w:rsid w:val="0057618C"/>
    <w:rsid w:val="00577B0D"/>
    <w:rsid w:val="00580925"/>
    <w:rsid w:val="0058142B"/>
    <w:rsid w:val="00592570"/>
    <w:rsid w:val="005C48F0"/>
    <w:rsid w:val="005C50C2"/>
    <w:rsid w:val="005C606F"/>
    <w:rsid w:val="005C75C4"/>
    <w:rsid w:val="005D41C2"/>
    <w:rsid w:val="005E2480"/>
    <w:rsid w:val="005F0889"/>
    <w:rsid w:val="005F119D"/>
    <w:rsid w:val="005F520A"/>
    <w:rsid w:val="0060711B"/>
    <w:rsid w:val="006253EE"/>
    <w:rsid w:val="00627AA0"/>
    <w:rsid w:val="00630E73"/>
    <w:rsid w:val="00642014"/>
    <w:rsid w:val="00646398"/>
    <w:rsid w:val="00646C96"/>
    <w:rsid w:val="006664A4"/>
    <w:rsid w:val="00676F40"/>
    <w:rsid w:val="006776DE"/>
    <w:rsid w:val="00682930"/>
    <w:rsid w:val="006829D9"/>
    <w:rsid w:val="00690140"/>
    <w:rsid w:val="00695D35"/>
    <w:rsid w:val="006A4886"/>
    <w:rsid w:val="006C1F5B"/>
    <w:rsid w:val="006D047A"/>
    <w:rsid w:val="006D18CA"/>
    <w:rsid w:val="006D7612"/>
    <w:rsid w:val="006E07D9"/>
    <w:rsid w:val="006E6521"/>
    <w:rsid w:val="006E7D57"/>
    <w:rsid w:val="006F07E3"/>
    <w:rsid w:val="006F1CC0"/>
    <w:rsid w:val="006F5E0C"/>
    <w:rsid w:val="00703B85"/>
    <w:rsid w:val="007040DC"/>
    <w:rsid w:val="00710BB6"/>
    <w:rsid w:val="007115C3"/>
    <w:rsid w:val="007116AD"/>
    <w:rsid w:val="00712999"/>
    <w:rsid w:val="00713A30"/>
    <w:rsid w:val="0073108A"/>
    <w:rsid w:val="00731C3C"/>
    <w:rsid w:val="007327C9"/>
    <w:rsid w:val="0074069F"/>
    <w:rsid w:val="007430B5"/>
    <w:rsid w:val="007504D2"/>
    <w:rsid w:val="00754C38"/>
    <w:rsid w:val="0075759D"/>
    <w:rsid w:val="0075773B"/>
    <w:rsid w:val="00770FF5"/>
    <w:rsid w:val="00780CD7"/>
    <w:rsid w:val="007823A1"/>
    <w:rsid w:val="00782E2B"/>
    <w:rsid w:val="0078601F"/>
    <w:rsid w:val="0078603C"/>
    <w:rsid w:val="007864A1"/>
    <w:rsid w:val="00786C5B"/>
    <w:rsid w:val="007873DA"/>
    <w:rsid w:val="0079773E"/>
    <w:rsid w:val="007A13E2"/>
    <w:rsid w:val="007A64DE"/>
    <w:rsid w:val="007B16BE"/>
    <w:rsid w:val="007B423E"/>
    <w:rsid w:val="007B7989"/>
    <w:rsid w:val="007C2D12"/>
    <w:rsid w:val="007D5F47"/>
    <w:rsid w:val="007D7E1B"/>
    <w:rsid w:val="007E53DB"/>
    <w:rsid w:val="007F22E4"/>
    <w:rsid w:val="007F33BA"/>
    <w:rsid w:val="007F697A"/>
    <w:rsid w:val="00801554"/>
    <w:rsid w:val="008117E7"/>
    <w:rsid w:val="008210C3"/>
    <w:rsid w:val="00825F32"/>
    <w:rsid w:val="00832C47"/>
    <w:rsid w:val="00842080"/>
    <w:rsid w:val="0084332F"/>
    <w:rsid w:val="00843941"/>
    <w:rsid w:val="0084625C"/>
    <w:rsid w:val="00856D21"/>
    <w:rsid w:val="008604AB"/>
    <w:rsid w:val="00862256"/>
    <w:rsid w:val="0086486C"/>
    <w:rsid w:val="008702CF"/>
    <w:rsid w:val="00872973"/>
    <w:rsid w:val="00890555"/>
    <w:rsid w:val="008A6177"/>
    <w:rsid w:val="008A7FFC"/>
    <w:rsid w:val="008C38E5"/>
    <w:rsid w:val="008C50B8"/>
    <w:rsid w:val="008C7C1C"/>
    <w:rsid w:val="008D0B5B"/>
    <w:rsid w:val="008E7719"/>
    <w:rsid w:val="008F3D1E"/>
    <w:rsid w:val="008F4DC3"/>
    <w:rsid w:val="00904601"/>
    <w:rsid w:val="00907A99"/>
    <w:rsid w:val="009100E1"/>
    <w:rsid w:val="00911093"/>
    <w:rsid w:val="00911D04"/>
    <w:rsid w:val="00917203"/>
    <w:rsid w:val="00920E75"/>
    <w:rsid w:val="0092535C"/>
    <w:rsid w:val="009275CA"/>
    <w:rsid w:val="00936686"/>
    <w:rsid w:val="00937B43"/>
    <w:rsid w:val="0094072C"/>
    <w:rsid w:val="009535D9"/>
    <w:rsid w:val="009536C3"/>
    <w:rsid w:val="0095600A"/>
    <w:rsid w:val="00956F9A"/>
    <w:rsid w:val="0095714E"/>
    <w:rsid w:val="00962619"/>
    <w:rsid w:val="009669F8"/>
    <w:rsid w:val="00984AAD"/>
    <w:rsid w:val="00985764"/>
    <w:rsid w:val="0098736D"/>
    <w:rsid w:val="009929D1"/>
    <w:rsid w:val="009930B1"/>
    <w:rsid w:val="009933CA"/>
    <w:rsid w:val="009935FB"/>
    <w:rsid w:val="009A03E6"/>
    <w:rsid w:val="009A3E27"/>
    <w:rsid w:val="009A5FB1"/>
    <w:rsid w:val="009B3A08"/>
    <w:rsid w:val="009B4BE3"/>
    <w:rsid w:val="009C0CA4"/>
    <w:rsid w:val="009C32BB"/>
    <w:rsid w:val="009C5F5D"/>
    <w:rsid w:val="009D2304"/>
    <w:rsid w:val="009D707D"/>
    <w:rsid w:val="009D712F"/>
    <w:rsid w:val="009F1434"/>
    <w:rsid w:val="009F252B"/>
    <w:rsid w:val="009F78D5"/>
    <w:rsid w:val="009F7AE1"/>
    <w:rsid w:val="00A248B3"/>
    <w:rsid w:val="00A27E58"/>
    <w:rsid w:val="00A319F1"/>
    <w:rsid w:val="00A34A49"/>
    <w:rsid w:val="00A355F6"/>
    <w:rsid w:val="00A42159"/>
    <w:rsid w:val="00A43D1D"/>
    <w:rsid w:val="00A4488E"/>
    <w:rsid w:val="00A46A86"/>
    <w:rsid w:val="00A50471"/>
    <w:rsid w:val="00A55DF5"/>
    <w:rsid w:val="00A57695"/>
    <w:rsid w:val="00A57C45"/>
    <w:rsid w:val="00A6093D"/>
    <w:rsid w:val="00A8040E"/>
    <w:rsid w:val="00A83AF5"/>
    <w:rsid w:val="00A85537"/>
    <w:rsid w:val="00A85CCE"/>
    <w:rsid w:val="00A94A76"/>
    <w:rsid w:val="00AA4DEE"/>
    <w:rsid w:val="00AA6A28"/>
    <w:rsid w:val="00AB002D"/>
    <w:rsid w:val="00AB7048"/>
    <w:rsid w:val="00AC20CF"/>
    <w:rsid w:val="00AC4CE1"/>
    <w:rsid w:val="00AC7D8C"/>
    <w:rsid w:val="00AD0508"/>
    <w:rsid w:val="00AD24B7"/>
    <w:rsid w:val="00AD6FF1"/>
    <w:rsid w:val="00AE0A0C"/>
    <w:rsid w:val="00AE4DC4"/>
    <w:rsid w:val="00AF1BBB"/>
    <w:rsid w:val="00AF21ED"/>
    <w:rsid w:val="00AF3634"/>
    <w:rsid w:val="00AF7999"/>
    <w:rsid w:val="00B00977"/>
    <w:rsid w:val="00B15989"/>
    <w:rsid w:val="00B15C8C"/>
    <w:rsid w:val="00B16F92"/>
    <w:rsid w:val="00B17F73"/>
    <w:rsid w:val="00B24106"/>
    <w:rsid w:val="00B24D3C"/>
    <w:rsid w:val="00B250B7"/>
    <w:rsid w:val="00B37CA9"/>
    <w:rsid w:val="00B46EBB"/>
    <w:rsid w:val="00B57FDD"/>
    <w:rsid w:val="00B62A4D"/>
    <w:rsid w:val="00B62E93"/>
    <w:rsid w:val="00B64AE6"/>
    <w:rsid w:val="00B656A1"/>
    <w:rsid w:val="00B665FB"/>
    <w:rsid w:val="00B6715A"/>
    <w:rsid w:val="00B73CF6"/>
    <w:rsid w:val="00B75A10"/>
    <w:rsid w:val="00B771CA"/>
    <w:rsid w:val="00B8134A"/>
    <w:rsid w:val="00B844DA"/>
    <w:rsid w:val="00B87FFD"/>
    <w:rsid w:val="00B92BE2"/>
    <w:rsid w:val="00B96BC1"/>
    <w:rsid w:val="00BA152E"/>
    <w:rsid w:val="00BA5E42"/>
    <w:rsid w:val="00BB257A"/>
    <w:rsid w:val="00BB2AFA"/>
    <w:rsid w:val="00BB6E46"/>
    <w:rsid w:val="00BB74AD"/>
    <w:rsid w:val="00BD04B2"/>
    <w:rsid w:val="00BD1E66"/>
    <w:rsid w:val="00BD4C8E"/>
    <w:rsid w:val="00BF3AE5"/>
    <w:rsid w:val="00BF66A1"/>
    <w:rsid w:val="00C00412"/>
    <w:rsid w:val="00C043F3"/>
    <w:rsid w:val="00C07537"/>
    <w:rsid w:val="00C1072D"/>
    <w:rsid w:val="00C11F8D"/>
    <w:rsid w:val="00C1782E"/>
    <w:rsid w:val="00C341F6"/>
    <w:rsid w:val="00C37303"/>
    <w:rsid w:val="00C452D9"/>
    <w:rsid w:val="00C52C89"/>
    <w:rsid w:val="00C60AA5"/>
    <w:rsid w:val="00C61D02"/>
    <w:rsid w:val="00C65002"/>
    <w:rsid w:val="00C708F2"/>
    <w:rsid w:val="00C70CC1"/>
    <w:rsid w:val="00C913A2"/>
    <w:rsid w:val="00C91C0C"/>
    <w:rsid w:val="00C94970"/>
    <w:rsid w:val="00C96259"/>
    <w:rsid w:val="00C969CB"/>
    <w:rsid w:val="00CA5B9A"/>
    <w:rsid w:val="00CA5C6C"/>
    <w:rsid w:val="00CB0F08"/>
    <w:rsid w:val="00CB2196"/>
    <w:rsid w:val="00CB3F1E"/>
    <w:rsid w:val="00CC42C1"/>
    <w:rsid w:val="00CC4C46"/>
    <w:rsid w:val="00CD161A"/>
    <w:rsid w:val="00CD207B"/>
    <w:rsid w:val="00CD24E7"/>
    <w:rsid w:val="00CD2BCA"/>
    <w:rsid w:val="00CD5AC6"/>
    <w:rsid w:val="00CD738C"/>
    <w:rsid w:val="00CE4CD4"/>
    <w:rsid w:val="00CE7D29"/>
    <w:rsid w:val="00CF1622"/>
    <w:rsid w:val="00CF651A"/>
    <w:rsid w:val="00CF6912"/>
    <w:rsid w:val="00CF7640"/>
    <w:rsid w:val="00D02729"/>
    <w:rsid w:val="00D03718"/>
    <w:rsid w:val="00D04836"/>
    <w:rsid w:val="00D06002"/>
    <w:rsid w:val="00D13EDF"/>
    <w:rsid w:val="00D15C2C"/>
    <w:rsid w:val="00D21EC8"/>
    <w:rsid w:val="00D23D45"/>
    <w:rsid w:val="00D24A24"/>
    <w:rsid w:val="00D3685C"/>
    <w:rsid w:val="00D36CE3"/>
    <w:rsid w:val="00D46CC1"/>
    <w:rsid w:val="00D51AF4"/>
    <w:rsid w:val="00D53C14"/>
    <w:rsid w:val="00D65702"/>
    <w:rsid w:val="00D712C7"/>
    <w:rsid w:val="00D74D45"/>
    <w:rsid w:val="00D76B2A"/>
    <w:rsid w:val="00D8761D"/>
    <w:rsid w:val="00D9101F"/>
    <w:rsid w:val="00DB436C"/>
    <w:rsid w:val="00DC0EA5"/>
    <w:rsid w:val="00DD01DE"/>
    <w:rsid w:val="00DE1165"/>
    <w:rsid w:val="00DE2402"/>
    <w:rsid w:val="00DE564D"/>
    <w:rsid w:val="00DE707D"/>
    <w:rsid w:val="00DE758A"/>
    <w:rsid w:val="00DF534F"/>
    <w:rsid w:val="00E0156A"/>
    <w:rsid w:val="00E0418E"/>
    <w:rsid w:val="00E06FFA"/>
    <w:rsid w:val="00E137F0"/>
    <w:rsid w:val="00E1434A"/>
    <w:rsid w:val="00E17360"/>
    <w:rsid w:val="00E2394D"/>
    <w:rsid w:val="00E23F1F"/>
    <w:rsid w:val="00E26106"/>
    <w:rsid w:val="00E26975"/>
    <w:rsid w:val="00E34235"/>
    <w:rsid w:val="00E3461A"/>
    <w:rsid w:val="00E372CE"/>
    <w:rsid w:val="00E419D1"/>
    <w:rsid w:val="00E42D4B"/>
    <w:rsid w:val="00E44371"/>
    <w:rsid w:val="00E46A7A"/>
    <w:rsid w:val="00E55FA7"/>
    <w:rsid w:val="00E56725"/>
    <w:rsid w:val="00E727A5"/>
    <w:rsid w:val="00E766BF"/>
    <w:rsid w:val="00E76F8E"/>
    <w:rsid w:val="00E96F19"/>
    <w:rsid w:val="00EA64B2"/>
    <w:rsid w:val="00EA7C61"/>
    <w:rsid w:val="00EB19FE"/>
    <w:rsid w:val="00EB3912"/>
    <w:rsid w:val="00EC1CCD"/>
    <w:rsid w:val="00ED0673"/>
    <w:rsid w:val="00ED3795"/>
    <w:rsid w:val="00ED5AA8"/>
    <w:rsid w:val="00EE1EEE"/>
    <w:rsid w:val="00EF4EFF"/>
    <w:rsid w:val="00EF7F3E"/>
    <w:rsid w:val="00F012B6"/>
    <w:rsid w:val="00F049C0"/>
    <w:rsid w:val="00F04D19"/>
    <w:rsid w:val="00F11289"/>
    <w:rsid w:val="00F128E1"/>
    <w:rsid w:val="00F16F4A"/>
    <w:rsid w:val="00F2398C"/>
    <w:rsid w:val="00F33E23"/>
    <w:rsid w:val="00F43047"/>
    <w:rsid w:val="00F474DE"/>
    <w:rsid w:val="00F50918"/>
    <w:rsid w:val="00F62A80"/>
    <w:rsid w:val="00F70F0A"/>
    <w:rsid w:val="00F72146"/>
    <w:rsid w:val="00F734A0"/>
    <w:rsid w:val="00F73FA7"/>
    <w:rsid w:val="00F75692"/>
    <w:rsid w:val="00F84E8E"/>
    <w:rsid w:val="00F919BE"/>
    <w:rsid w:val="00F96179"/>
    <w:rsid w:val="00FB1496"/>
    <w:rsid w:val="00FB28B0"/>
    <w:rsid w:val="00FB3AEA"/>
    <w:rsid w:val="00FC2FE7"/>
    <w:rsid w:val="00FC62B1"/>
    <w:rsid w:val="00FE3CBF"/>
    <w:rsid w:val="00FE6381"/>
    <w:rsid w:val="00FE6FB3"/>
    <w:rsid w:val="00FF3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2B"/>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49202B"/>
    <w:pPr>
      <w:keepNext/>
      <w:widowControl w:val="0"/>
      <w:autoSpaceDE w:val="0"/>
      <w:autoSpaceDN w:val="0"/>
      <w:spacing w:before="240" w:after="60" w:line="240" w:lineRule="auto"/>
      <w:outlineLvl w:val="1"/>
    </w:pPr>
    <w:rPr>
      <w:rFonts w:ascii="Cambria" w:hAnsi="Cambria"/>
      <w:b/>
      <w:bCs/>
      <w:i/>
      <w:iCs/>
      <w:sz w:val="28"/>
      <w:szCs w:val="28"/>
    </w:rPr>
  </w:style>
  <w:style w:type="paragraph" w:styleId="Heading5">
    <w:name w:val="heading 5"/>
    <w:basedOn w:val="Normal"/>
    <w:next w:val="Normal"/>
    <w:link w:val="Heading5Char"/>
    <w:qFormat/>
    <w:rsid w:val="0049202B"/>
    <w:pPr>
      <w:keepNext/>
      <w:spacing w:after="0" w:line="240" w:lineRule="auto"/>
      <w:jc w:val="center"/>
      <w:outlineLvl w:val="4"/>
    </w:pPr>
    <w:rPr>
      <w:rFonts w:ascii="Cir Times" w:hAnsi="Cir Times"/>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02B"/>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49202B"/>
    <w:rPr>
      <w:rFonts w:ascii="Cir Times" w:eastAsia="Times New Roman" w:hAnsi="Cir Times" w:cs="Times New Roman"/>
      <w:b/>
      <w:bCs/>
      <w:sz w:val="24"/>
      <w:szCs w:val="24"/>
      <w:lang w:val="hr-HR" w:eastAsia="hr-HR"/>
    </w:rPr>
  </w:style>
  <w:style w:type="paragraph" w:styleId="Title">
    <w:name w:val="Title"/>
    <w:basedOn w:val="Normal"/>
    <w:link w:val="TitleChar"/>
    <w:qFormat/>
    <w:rsid w:val="0049202B"/>
    <w:pPr>
      <w:spacing w:after="0" w:line="240" w:lineRule="auto"/>
      <w:jc w:val="center"/>
    </w:pPr>
    <w:rPr>
      <w:rFonts w:ascii="Cir Times" w:hAnsi="Cir Times"/>
      <w:b/>
      <w:bCs/>
      <w:sz w:val="24"/>
      <w:szCs w:val="24"/>
      <w:lang w:val="hr-HR" w:eastAsia="hr-HR"/>
    </w:rPr>
  </w:style>
  <w:style w:type="character" w:customStyle="1" w:styleId="TitleChar">
    <w:name w:val="Title Char"/>
    <w:basedOn w:val="DefaultParagraphFont"/>
    <w:link w:val="Title"/>
    <w:rsid w:val="0049202B"/>
    <w:rPr>
      <w:rFonts w:ascii="Cir Times" w:eastAsia="Times New Roman" w:hAnsi="Cir Times" w:cs="Times New Roman"/>
      <w:b/>
      <w:bCs/>
      <w:sz w:val="24"/>
      <w:szCs w:val="24"/>
      <w:lang w:val="hr-HR" w:eastAsia="hr-HR"/>
    </w:rPr>
  </w:style>
  <w:style w:type="paragraph" w:styleId="ListParagraph">
    <w:name w:val="List Paragraph"/>
    <w:basedOn w:val="Normal"/>
    <w:link w:val="ListParagraphChar"/>
    <w:uiPriority w:val="34"/>
    <w:qFormat/>
    <w:rsid w:val="0049202B"/>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49202B"/>
    <w:rPr>
      <w:rFonts w:ascii="Times New Roman" w:eastAsia="Times New Roman" w:hAnsi="Times New Roman" w:cs="Times New Roman"/>
      <w:sz w:val="24"/>
      <w:szCs w:val="24"/>
    </w:rPr>
  </w:style>
  <w:style w:type="paragraph" w:styleId="BodyText">
    <w:name w:val="Body Text"/>
    <w:aliases w:val="  uvlaka 2, uvlaka 3,uvlaka 2,uvlaka 3"/>
    <w:basedOn w:val="Normal"/>
    <w:link w:val="BodyTextChar"/>
    <w:qFormat/>
    <w:rsid w:val="0049202B"/>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aliases w:val="  uvlaka 2 Char, uvlaka 3 Char,uvlaka 2 Char,uvlaka 3 Char"/>
    <w:basedOn w:val="DefaultParagraphFont"/>
    <w:link w:val="BodyText"/>
    <w:rsid w:val="0049202B"/>
    <w:rPr>
      <w:rFonts w:ascii="Times New Roman" w:eastAsia="Times New Roman" w:hAnsi="Times New Roman" w:cs="Times New Roman"/>
      <w:sz w:val="24"/>
      <w:szCs w:val="24"/>
    </w:rPr>
  </w:style>
  <w:style w:type="character" w:customStyle="1" w:styleId="shorttext">
    <w:name w:val="short_text"/>
    <w:basedOn w:val="DefaultParagraphFont"/>
    <w:rsid w:val="0049202B"/>
  </w:style>
  <w:style w:type="paragraph" w:styleId="BodyTextIndent">
    <w:name w:val="Body Text Indent"/>
    <w:basedOn w:val="Normal"/>
    <w:link w:val="BodyTextIndentChar"/>
    <w:uiPriority w:val="99"/>
    <w:rsid w:val="0049202B"/>
    <w:pPr>
      <w:spacing w:after="0" w:line="240" w:lineRule="auto"/>
      <w:ind w:firstLine="705"/>
      <w:jc w:val="both"/>
    </w:pPr>
    <w:rPr>
      <w:rFonts w:ascii="Cir Times" w:hAnsi="Cir Times"/>
      <w:sz w:val="24"/>
      <w:szCs w:val="24"/>
      <w:lang w:val="hr-HR" w:eastAsia="hr-HR"/>
    </w:rPr>
  </w:style>
  <w:style w:type="character" w:customStyle="1" w:styleId="BodyTextIndentChar">
    <w:name w:val="Body Text Indent Char"/>
    <w:basedOn w:val="DefaultParagraphFont"/>
    <w:link w:val="BodyTextIndent"/>
    <w:uiPriority w:val="99"/>
    <w:rsid w:val="0049202B"/>
    <w:rPr>
      <w:rFonts w:ascii="Cir Times" w:eastAsia="Times New Roman" w:hAnsi="Cir Times" w:cs="Times New Roman"/>
      <w:sz w:val="24"/>
      <w:szCs w:val="24"/>
      <w:lang w:val="hr-HR" w:eastAsia="hr-HR"/>
    </w:rPr>
  </w:style>
  <w:style w:type="paragraph" w:styleId="BodyText2">
    <w:name w:val="Body Text 2"/>
    <w:basedOn w:val="Normal"/>
    <w:link w:val="BodyText2Char"/>
    <w:uiPriority w:val="99"/>
    <w:rsid w:val="0049202B"/>
    <w:pPr>
      <w:spacing w:after="0" w:line="240" w:lineRule="auto"/>
      <w:jc w:val="both"/>
    </w:pPr>
    <w:rPr>
      <w:rFonts w:ascii="Cir Times" w:hAnsi="Cir Times"/>
      <w:sz w:val="20"/>
      <w:szCs w:val="24"/>
      <w:lang w:val="hr-HR" w:eastAsia="hr-HR"/>
    </w:rPr>
  </w:style>
  <w:style w:type="character" w:customStyle="1" w:styleId="BodyText2Char">
    <w:name w:val="Body Text 2 Char"/>
    <w:basedOn w:val="DefaultParagraphFont"/>
    <w:link w:val="BodyText2"/>
    <w:uiPriority w:val="99"/>
    <w:rsid w:val="0049202B"/>
    <w:rPr>
      <w:rFonts w:ascii="Cir Times" w:eastAsia="Times New Roman" w:hAnsi="Cir Times" w:cs="Times New Roman"/>
      <w:sz w:val="20"/>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Bekim</dc:creator>
  <cp:lastModifiedBy>op</cp:lastModifiedBy>
  <cp:revision>15</cp:revision>
  <cp:lastPrinted>2024-12-20T11:16:00Z</cp:lastPrinted>
  <dcterms:created xsi:type="dcterms:W3CDTF">2023-11-06T10:15:00Z</dcterms:created>
  <dcterms:modified xsi:type="dcterms:W3CDTF">2024-12-30T07:35:00Z</dcterms:modified>
</cp:coreProperties>
</file>